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C2F" w:rsidRDefault="00E9073C">
      <w:pPr>
        <w:pStyle w:val="Heading1"/>
        <w:ind w:left="442" w:right="481" w:firstLine="1"/>
        <w:rPr>
          <w:lang w:val="id-ID"/>
        </w:rPr>
      </w:pPr>
      <w:r>
        <w:rPr>
          <w:lang w:val="id-ID"/>
        </w:rPr>
        <w:t>PENGARUH BI RATE DAN INFLASI TERHADAP PROFITABILITAS (ROA) PADA BANK SWASTA DEVISA YANG TERDAFTAR DI BURSA EFEK INDONESIA PERIODE 2012-2016</w:t>
      </w:r>
    </w:p>
    <w:p w:rsidR="003238B7" w:rsidRDefault="003238B7">
      <w:pPr>
        <w:pStyle w:val="Heading1"/>
        <w:ind w:left="442" w:right="481" w:firstLine="1"/>
        <w:rPr>
          <w:lang w:val="id-ID"/>
        </w:rPr>
      </w:pPr>
    </w:p>
    <w:p w:rsidR="003238B7" w:rsidRDefault="003238B7" w:rsidP="003238B7">
      <w:pPr>
        <w:jc w:val="center"/>
        <w:rPr>
          <w:b/>
          <w:i/>
          <w:iCs/>
          <w:sz w:val="24"/>
          <w:szCs w:val="24"/>
          <w:lang w:val="id-ID"/>
        </w:rPr>
      </w:pPr>
      <w:r>
        <w:rPr>
          <w:b/>
          <w:i/>
          <w:iCs/>
          <w:sz w:val="24"/>
          <w:szCs w:val="24"/>
          <w:lang w:val="id-ID"/>
        </w:rPr>
        <w:t>THE INFLUENCE OF BI RATE AND INFLATION TO PROFITABILITY (ROA) AT  FOREIGN EXCHANGE COMMERCIAL BANK  LISTED IN INDONESIA STOCK EXCHANGE PERIOD 2012-2016</w:t>
      </w:r>
      <w:r w:rsidRPr="00E52F7C">
        <w:rPr>
          <w:b/>
          <w:i/>
          <w:iCs/>
          <w:sz w:val="24"/>
          <w:szCs w:val="24"/>
        </w:rPr>
        <w:t>.</w:t>
      </w:r>
    </w:p>
    <w:p w:rsidR="003238B7" w:rsidRPr="00E9073C" w:rsidRDefault="003238B7">
      <w:pPr>
        <w:pStyle w:val="Heading1"/>
        <w:ind w:left="442" w:right="481" w:firstLine="1"/>
        <w:rPr>
          <w:lang w:val="id-ID"/>
        </w:rPr>
      </w:pPr>
    </w:p>
    <w:p w:rsidR="00FB4C2F" w:rsidRPr="00E9073C" w:rsidRDefault="00E9073C" w:rsidP="00E9073C">
      <w:pPr>
        <w:pStyle w:val="Heading2"/>
        <w:spacing w:before="189"/>
        <w:ind w:left="2393"/>
        <w:rPr>
          <w:lang w:val="id-ID"/>
        </w:rPr>
      </w:pPr>
      <w:r>
        <w:rPr>
          <w:lang w:val="id-ID"/>
        </w:rPr>
        <w:t xml:space="preserve">                 Muhamad Alfi Harun Al Rasid</w:t>
      </w:r>
    </w:p>
    <w:p w:rsidR="00FB4C2F" w:rsidRPr="00E9073C" w:rsidRDefault="009B3F02">
      <w:pPr>
        <w:pStyle w:val="BodyText"/>
        <w:spacing w:before="182"/>
        <w:ind w:left="159" w:right="207"/>
        <w:jc w:val="center"/>
        <w:rPr>
          <w:lang w:val="id-ID"/>
        </w:rPr>
      </w:pPr>
      <w:r>
        <w:t>Pro</w:t>
      </w:r>
      <w:r w:rsidR="00E9073C">
        <w:t xml:space="preserve">di S1 Manajemen, </w:t>
      </w:r>
      <w:r w:rsidR="00E9073C">
        <w:rPr>
          <w:lang w:val="id-ID"/>
        </w:rPr>
        <w:t>Sekolah Tinggi Ilmu Ekonomi Ekuitas</w:t>
      </w:r>
    </w:p>
    <w:p w:rsidR="00FB4C2F" w:rsidRPr="00EC6E85" w:rsidRDefault="00FB4C2F" w:rsidP="00EC6E85">
      <w:pPr>
        <w:spacing w:before="190"/>
        <w:ind w:left="159" w:right="163"/>
        <w:rPr>
          <w:sz w:val="18"/>
          <w:lang w:val="id-ID"/>
        </w:rPr>
      </w:pPr>
    </w:p>
    <w:p w:rsidR="00FB4C2F" w:rsidRDefault="005403EB">
      <w:pPr>
        <w:pStyle w:val="BodyText"/>
        <w:spacing w:before="5"/>
        <w:ind w:left="0"/>
        <w:rPr>
          <w:sz w:val="11"/>
        </w:rPr>
      </w:pPr>
      <w:r w:rsidRPr="005403EB">
        <w:pict>
          <v:line id="_x0000_s1037" style="position:absolute;z-index:-251660800;mso-wrap-distance-left:0;mso-wrap-distance-right:0;mso-position-horizontal-relative:page" from="68.9pt,8.95pt" to="524.2pt,8.95pt">
            <w10:wrap type="topAndBottom" anchorx="page"/>
          </v:line>
        </w:pict>
      </w:r>
    </w:p>
    <w:p w:rsidR="00FB4C2F" w:rsidRDefault="009B3F02">
      <w:pPr>
        <w:pStyle w:val="Heading2"/>
        <w:ind w:left="161"/>
        <w:rPr>
          <w:lang w:val="id-ID"/>
        </w:rPr>
      </w:pPr>
      <w:r>
        <w:t>Abstrak</w:t>
      </w:r>
    </w:p>
    <w:p w:rsidR="003238B7" w:rsidRPr="003238B7" w:rsidRDefault="003238B7">
      <w:pPr>
        <w:pStyle w:val="Heading2"/>
        <w:ind w:left="161"/>
        <w:rPr>
          <w:lang w:val="id-ID"/>
        </w:rPr>
      </w:pPr>
    </w:p>
    <w:p w:rsidR="003238B7" w:rsidRPr="003238B7" w:rsidRDefault="003238B7" w:rsidP="003238B7">
      <w:pPr>
        <w:pStyle w:val="Default"/>
        <w:spacing w:line="276" w:lineRule="auto"/>
        <w:ind w:firstLine="720"/>
        <w:jc w:val="both"/>
        <w:rPr>
          <w:sz w:val="20"/>
          <w:szCs w:val="20"/>
        </w:rPr>
      </w:pPr>
      <w:r w:rsidRPr="003238B7">
        <w:rPr>
          <w:sz w:val="20"/>
          <w:szCs w:val="20"/>
        </w:rPr>
        <w:t xml:space="preserve">Penelitian ini bertujuan untuk mengetahui pengaruh dari BI </w:t>
      </w:r>
      <w:r w:rsidRPr="003238B7">
        <w:rPr>
          <w:i/>
          <w:sz w:val="20"/>
          <w:szCs w:val="20"/>
        </w:rPr>
        <w:t xml:space="preserve">rate </w:t>
      </w:r>
      <w:r w:rsidRPr="003238B7">
        <w:rPr>
          <w:sz w:val="20"/>
          <w:szCs w:val="20"/>
        </w:rPr>
        <w:t>dan Inflasi terhadap Profitabilitas (ROA) pada Bank Swasta Devisa yang terdaftar di Bursa Efek Indonesia periode 2012-2016.</w:t>
      </w:r>
    </w:p>
    <w:p w:rsidR="003238B7" w:rsidRPr="003238B7" w:rsidRDefault="003238B7" w:rsidP="003238B7">
      <w:pPr>
        <w:pStyle w:val="Default"/>
        <w:spacing w:line="276" w:lineRule="auto"/>
        <w:ind w:firstLine="720"/>
        <w:jc w:val="both"/>
        <w:rPr>
          <w:sz w:val="20"/>
          <w:szCs w:val="20"/>
        </w:rPr>
      </w:pPr>
      <w:r w:rsidRPr="003238B7">
        <w:rPr>
          <w:sz w:val="20"/>
          <w:szCs w:val="20"/>
        </w:rPr>
        <w:t xml:space="preserve">Populasi dalam penelitian ini adalah bank swasta devisa yang terdaftar di Bursa Efek Indonesia pada periode tahun 2012 sampai dengan tahun 2016. Jumlah sampel yang digunakan adalah 16 bank swasta devisa yang terdaftar di Bursa Efek Indonesia. Metode yang digunkan dalam penelitian ini adalah deskriptif, verifikatif dan menggunakan analisis regresi linier berganda dengan uji hipotesis yaitu uji koefisien determinasi </w:t>
      </w:r>
      <m:oMath>
        <m:sSup>
          <m:sSupPr>
            <m:ctrlPr>
              <w:rPr>
                <w:rFonts w:ascii="Cambria Math" w:hAnsi="Cambria Math"/>
                <w:i/>
                <w:sz w:val="20"/>
                <w:szCs w:val="20"/>
              </w:rPr>
            </m:ctrlPr>
          </m:sSupPr>
          <m:e>
            <m:r>
              <m:rPr>
                <m:sty m:val="p"/>
              </m:rPr>
              <w:rPr>
                <w:rFonts w:ascii="Cambria Math"/>
                <w:sz w:val="20"/>
                <w:szCs w:val="20"/>
              </w:rPr>
              <m:t>R</m:t>
            </m:r>
          </m:e>
          <m:sup>
            <m:r>
              <w:rPr>
                <w:rFonts w:ascii="Cambria Math"/>
                <w:sz w:val="20"/>
                <w:szCs w:val="20"/>
              </w:rPr>
              <m:t>2</m:t>
            </m:r>
          </m:sup>
        </m:sSup>
      </m:oMath>
      <w:r w:rsidRPr="003238B7">
        <w:rPr>
          <w:rFonts w:eastAsiaTheme="minorEastAsia"/>
          <w:sz w:val="20"/>
          <w:szCs w:val="20"/>
        </w:rPr>
        <w:t xml:space="preserve"> uji F, dan uji t dengan menggunakan bantuan program komputer Eviews 9.</w:t>
      </w:r>
    </w:p>
    <w:p w:rsidR="003238B7" w:rsidRPr="003238B7" w:rsidRDefault="003238B7" w:rsidP="003238B7">
      <w:pPr>
        <w:pStyle w:val="Default"/>
        <w:spacing w:line="276" w:lineRule="auto"/>
        <w:ind w:firstLine="720"/>
        <w:jc w:val="both"/>
        <w:rPr>
          <w:rFonts w:eastAsiaTheme="minorEastAsia"/>
          <w:sz w:val="20"/>
          <w:szCs w:val="20"/>
        </w:rPr>
      </w:pPr>
      <w:r w:rsidRPr="003238B7">
        <w:rPr>
          <w:sz w:val="20"/>
          <w:szCs w:val="20"/>
        </w:rPr>
        <w:t xml:space="preserve">Hasil penelitian secara parsial ini menunjukan bahwa pada bank swasta devisa variabel bebas BI </w:t>
      </w:r>
      <w:r w:rsidRPr="003238B7">
        <w:rPr>
          <w:i/>
          <w:sz w:val="20"/>
          <w:szCs w:val="20"/>
        </w:rPr>
        <w:t>Rate</w:t>
      </w:r>
      <w:r w:rsidRPr="003238B7">
        <w:rPr>
          <w:sz w:val="20"/>
          <w:szCs w:val="20"/>
        </w:rPr>
        <w:t xml:space="preserve"> berpengaruh dengan hubungan negatif secara signifikan terhadap ROA karena nilai signifikasinya berada di bawah 0,05, sementara itu variabel bebas Inflasi berpengaruh dengan hubungan positif secara signifikan terhadap ROA karena nilai signifikasinya kurang dari 0,05. Dan hasil penelitian secara simultan menunjukan bahwa BI </w:t>
      </w:r>
      <w:r w:rsidRPr="003238B7">
        <w:rPr>
          <w:i/>
          <w:sz w:val="20"/>
          <w:szCs w:val="20"/>
        </w:rPr>
        <w:t xml:space="preserve">Rate </w:t>
      </w:r>
      <w:r w:rsidRPr="003238B7">
        <w:rPr>
          <w:sz w:val="20"/>
          <w:szCs w:val="20"/>
        </w:rPr>
        <w:t xml:space="preserve">dan Inflasi berpengaruh terhadap profitabillitas bank swasta devisa. Berdasarkan uji </w:t>
      </w:r>
      <m:oMath>
        <m:sSup>
          <m:sSupPr>
            <m:ctrlPr>
              <w:rPr>
                <w:rFonts w:ascii="Cambria Math" w:hAnsi="Cambria Math"/>
                <w:i/>
                <w:sz w:val="20"/>
                <w:szCs w:val="20"/>
              </w:rPr>
            </m:ctrlPr>
          </m:sSupPr>
          <m:e>
            <m:r>
              <m:rPr>
                <m:sty m:val="p"/>
              </m:rPr>
              <w:rPr>
                <w:rFonts w:ascii="Cambria Math"/>
                <w:sz w:val="20"/>
                <w:szCs w:val="20"/>
              </w:rPr>
              <m:t>R</m:t>
            </m:r>
          </m:e>
          <m:sup>
            <m:r>
              <w:rPr>
                <w:rFonts w:ascii="Cambria Math"/>
                <w:sz w:val="20"/>
                <w:szCs w:val="20"/>
              </w:rPr>
              <m:t>2</m:t>
            </m:r>
          </m:sup>
        </m:sSup>
      </m:oMath>
      <w:r w:rsidRPr="003238B7">
        <w:rPr>
          <w:rFonts w:eastAsiaTheme="minorEastAsia"/>
          <w:sz w:val="20"/>
          <w:szCs w:val="20"/>
        </w:rPr>
        <w:t xml:space="preserve"> menunjukan besarnya pengaruh independent terhadap variabel dependent ROA adalah sebesar 22,15% sedangkan sisanya 77,85% dipengaruhi oleh faktor lain diluar faktor independen yang digunakan dalam penelitian ini.</w:t>
      </w:r>
    </w:p>
    <w:p w:rsidR="003238B7" w:rsidRPr="003238B7" w:rsidRDefault="003238B7">
      <w:pPr>
        <w:pStyle w:val="Heading2"/>
        <w:ind w:left="161"/>
        <w:rPr>
          <w:lang w:val="id-ID"/>
        </w:rPr>
      </w:pPr>
    </w:p>
    <w:p w:rsidR="00FB4C2F" w:rsidRDefault="009B3F02">
      <w:pPr>
        <w:spacing w:before="104"/>
        <w:ind w:left="161"/>
        <w:rPr>
          <w:b/>
          <w:i/>
          <w:sz w:val="20"/>
          <w:lang w:val="id-ID"/>
        </w:rPr>
      </w:pPr>
      <w:r>
        <w:rPr>
          <w:b/>
          <w:i/>
          <w:sz w:val="20"/>
        </w:rPr>
        <w:t>Abstract</w:t>
      </w:r>
    </w:p>
    <w:p w:rsidR="003238B7" w:rsidRPr="003238B7" w:rsidRDefault="003238B7" w:rsidP="003238B7">
      <w:pPr>
        <w:pStyle w:val="Default"/>
        <w:spacing w:line="276" w:lineRule="auto"/>
        <w:ind w:firstLine="709"/>
        <w:jc w:val="both"/>
        <w:rPr>
          <w:sz w:val="20"/>
          <w:szCs w:val="20"/>
        </w:rPr>
      </w:pPr>
      <w:r w:rsidRPr="003238B7">
        <w:rPr>
          <w:i/>
          <w:color w:val="212121"/>
          <w:sz w:val="20"/>
          <w:szCs w:val="20"/>
          <w:shd w:val="clear" w:color="auto" w:fill="FFFFFF"/>
        </w:rPr>
        <w:t>The aims of this research is to knowing the effect of BI Rate adn Inflation to Banking Performance (ROA) at foreign exchange commercial bank listed in Indonesia Stock Exchange period 2012-2016.</w:t>
      </w:r>
    </w:p>
    <w:p w:rsidR="003238B7" w:rsidRPr="003238B7" w:rsidRDefault="003238B7" w:rsidP="003238B7">
      <w:pPr>
        <w:pStyle w:val="Default"/>
        <w:spacing w:line="276" w:lineRule="auto"/>
        <w:ind w:firstLine="720"/>
        <w:jc w:val="both"/>
        <w:rPr>
          <w:i/>
          <w:sz w:val="20"/>
          <w:szCs w:val="20"/>
        </w:rPr>
      </w:pPr>
      <w:r w:rsidRPr="003238B7">
        <w:rPr>
          <w:i/>
          <w:sz w:val="20"/>
          <w:szCs w:val="20"/>
        </w:rPr>
        <w:t>The population are object of this research is publicly traded foreign exchange commercial bank on the Indonesia Stock Exchange period 2012-2016. The number of sample were used in this research are 16 foreign exchange commercial bank listed in Indonesia Stock Exchange. The usage method in this research is deskriptif, verifikatif and multiple regression analysis for the hypotesis which</w:t>
      </w:r>
      <w:r w:rsidRPr="003238B7">
        <w:rPr>
          <w:sz w:val="20"/>
          <w:szCs w:val="20"/>
        </w:rPr>
        <w:t xml:space="preserve"> </w:t>
      </w:r>
      <m:oMath>
        <m:sSup>
          <m:sSupPr>
            <m:ctrlPr>
              <w:rPr>
                <w:rFonts w:ascii="Cambria Math" w:hAnsi="Cambria Math"/>
                <w:i/>
                <w:sz w:val="20"/>
                <w:szCs w:val="20"/>
              </w:rPr>
            </m:ctrlPr>
          </m:sSupPr>
          <m:e>
            <m:r>
              <w:rPr>
                <w:rFonts w:ascii="Cambria Math"/>
                <w:sz w:val="20"/>
                <w:szCs w:val="20"/>
              </w:rPr>
              <m:t>R</m:t>
            </m:r>
          </m:e>
          <m:sup>
            <m:r>
              <w:rPr>
                <w:rFonts w:ascii="Cambria Math"/>
                <w:sz w:val="20"/>
                <w:szCs w:val="20"/>
              </w:rPr>
              <m:t>2</m:t>
            </m:r>
          </m:sup>
        </m:sSup>
      </m:oMath>
      <w:r w:rsidRPr="003238B7">
        <w:rPr>
          <w:rFonts w:eastAsiaTheme="minorEastAsia"/>
          <w:sz w:val="20"/>
          <w:szCs w:val="20"/>
        </w:rPr>
        <w:t xml:space="preserve"> </w:t>
      </w:r>
      <w:r w:rsidRPr="003238B7">
        <w:rPr>
          <w:rFonts w:eastAsiaTheme="minorEastAsia"/>
          <w:i/>
          <w:sz w:val="20"/>
          <w:szCs w:val="20"/>
        </w:rPr>
        <w:t>determination coefficient test, the F test and t test with Eviews 9 comuter program for researching.</w:t>
      </w:r>
    </w:p>
    <w:p w:rsidR="003238B7" w:rsidRPr="003238B7" w:rsidRDefault="003238B7" w:rsidP="003238B7">
      <w:pPr>
        <w:pStyle w:val="Default"/>
        <w:ind w:firstLine="720"/>
        <w:jc w:val="both"/>
        <w:rPr>
          <w:i/>
          <w:iCs/>
          <w:sz w:val="20"/>
          <w:szCs w:val="20"/>
        </w:rPr>
      </w:pPr>
      <w:r w:rsidRPr="003238B7">
        <w:rPr>
          <w:i/>
          <w:iCs/>
          <w:sz w:val="20"/>
          <w:szCs w:val="20"/>
        </w:rPr>
        <w:t xml:space="preserve">On the foreign exchange commercial bank the result of parcial showed independent variable BI Rate have significant impact with a negatif on ROA because their value of significant under 0,05, while other independent variable Inflation have a significant impact with positif to ROA because the value of significant under 0,05. And the result of simultan showed BI Rate and Inflation have a significant impact on profitability ROA at foreign exchange commercial bank. Based on </w:t>
      </w:r>
      <m:oMath>
        <m:sSup>
          <m:sSupPr>
            <m:ctrlPr>
              <w:rPr>
                <w:rFonts w:ascii="Cambria Math" w:hAnsi="Cambria Math"/>
                <w:i/>
                <w:sz w:val="20"/>
                <w:szCs w:val="20"/>
              </w:rPr>
            </m:ctrlPr>
          </m:sSupPr>
          <m:e>
            <m:r>
              <w:rPr>
                <w:rFonts w:ascii="Cambria Math"/>
                <w:sz w:val="20"/>
                <w:szCs w:val="20"/>
              </w:rPr>
              <m:t>R</m:t>
            </m:r>
          </m:e>
          <m:sup>
            <m:r>
              <w:rPr>
                <w:rFonts w:ascii="Cambria Math"/>
                <w:sz w:val="20"/>
                <w:szCs w:val="20"/>
              </w:rPr>
              <m:t>2</m:t>
            </m:r>
          </m:sup>
        </m:sSup>
      </m:oMath>
      <w:r w:rsidRPr="003238B7">
        <w:rPr>
          <w:i/>
          <w:iCs/>
          <w:sz w:val="20"/>
          <w:szCs w:val="20"/>
        </w:rPr>
        <w:t xml:space="preserve"> test of the independent variable on ROA showed the prediction ability 22,15% and 77,85% remains are affected by other factors outside of this model.</w:t>
      </w:r>
    </w:p>
    <w:p w:rsidR="003238B7" w:rsidRPr="003238B7" w:rsidRDefault="003238B7">
      <w:pPr>
        <w:spacing w:before="104"/>
        <w:ind w:left="161"/>
        <w:rPr>
          <w:b/>
          <w:i/>
          <w:sz w:val="20"/>
          <w:lang w:val="id-ID"/>
        </w:rPr>
      </w:pPr>
    </w:p>
    <w:p w:rsidR="00FB4C2F" w:rsidRDefault="009B3F02">
      <w:pPr>
        <w:pStyle w:val="Heading2"/>
        <w:numPr>
          <w:ilvl w:val="0"/>
          <w:numId w:val="3"/>
        </w:numPr>
        <w:tabs>
          <w:tab w:val="left" w:pos="411"/>
        </w:tabs>
        <w:spacing w:before="99"/>
        <w:ind w:hanging="283"/>
      </w:pPr>
      <w:r>
        <w:t>Pendahuluan</w:t>
      </w:r>
    </w:p>
    <w:p w:rsidR="003238B7" w:rsidRDefault="003238B7" w:rsidP="003238B7">
      <w:pPr>
        <w:pStyle w:val="BodyText"/>
        <w:spacing w:before="88"/>
        <w:ind w:firstLine="276"/>
        <w:rPr>
          <w:lang w:val="id-ID"/>
        </w:rPr>
      </w:pPr>
      <w:r w:rsidRPr="003238B7">
        <w:t>Perkembanga</w:t>
      </w:r>
      <w:r>
        <w:t xml:space="preserve">n dan pembangunan perekonomian </w:t>
      </w:r>
      <w:r>
        <w:rPr>
          <w:lang w:val="id-ID"/>
        </w:rPr>
        <w:t>n</w:t>
      </w:r>
      <w:r w:rsidRPr="003238B7">
        <w:t>egara sangat bergantung pada peranan dan kinerja dari perbankan sebagai badan keuangan yang turut menggerakkan perekonomian nasional. Perbankan dapat membantu menyediakan dana untuk masyarakat dalam kegiatan bisnis usa</w:t>
      </w:r>
      <w:r>
        <w:t xml:space="preserve">ha guna mendorong perekonomian </w:t>
      </w:r>
      <w:r>
        <w:rPr>
          <w:lang w:val="id-ID"/>
        </w:rPr>
        <w:t>n</w:t>
      </w:r>
      <w:r w:rsidRPr="003238B7">
        <w:t>egara melalui penyaluran kredit. Semakin luas dan besar kredit yang disalurkan oleh bank kepada masyarakat untuk kegiatan produktif, maka dapat mempercepat laju pertumbuhan ekonomi dalam suatu negara dan dalam kurun waktu  yang lama</w:t>
      </w:r>
      <w:r w:rsidRPr="003238B7">
        <w:rPr>
          <w:lang w:val="id-ID"/>
        </w:rPr>
        <w:t>.</w:t>
      </w:r>
    </w:p>
    <w:p w:rsidR="003238B7" w:rsidRDefault="00C37AC2" w:rsidP="003238B7">
      <w:pPr>
        <w:pStyle w:val="BodyText"/>
        <w:spacing w:before="88"/>
        <w:ind w:firstLine="276"/>
        <w:rPr>
          <w:lang w:val="id-ID"/>
        </w:rPr>
      </w:pPr>
      <w:r w:rsidRPr="00C37AC2">
        <w:t xml:space="preserve">Sektor perbankan dalam kegiatan operasionalnya tidak lepas dari pengaruh kondisi perekonomian. Yaitu salah satunya pengaruh pada perekonomian makro, diantaranya pengangguran, inflasi, nilai kurs, suku bunga (BI </w:t>
      </w:r>
      <w:r w:rsidRPr="00C37AC2">
        <w:rPr>
          <w:i/>
        </w:rPr>
        <w:t>rate</w:t>
      </w:r>
      <w:r w:rsidRPr="00C37AC2">
        <w:t xml:space="preserve">) dan lain sebagainya. Adanaya pengaruh makroekonomi akan berdampak pada perusahaan dan pada masyarakat. Salah satu dampak yang terjadi pengaruh makroekonomi dengan meningkatnya inflasi, inflasi memiliki dampak positif dan dampak negatif tergantung parah atau tidaknya inflasi. Apabila inflasi itu ringan, </w:t>
      </w:r>
      <w:r w:rsidRPr="00C37AC2">
        <w:lastRenderedPageBreak/>
        <w:t>justru mempunyai pengaruh yang positif dalam arti dapat mendorong perekonomian lebih baik, namun jika inflasi itu berat maka akan berpengaruh negatif yang akan menurunkan perekonomian.</w:t>
      </w:r>
    </w:p>
    <w:p w:rsidR="00C37AC2" w:rsidRPr="00C37AC2" w:rsidRDefault="00C37AC2" w:rsidP="003238B7">
      <w:pPr>
        <w:pStyle w:val="BodyText"/>
        <w:spacing w:before="88"/>
        <w:ind w:firstLine="276"/>
        <w:rPr>
          <w:lang w:val="id-ID"/>
        </w:rPr>
      </w:pPr>
      <w:r>
        <w:rPr>
          <w:lang w:val="id-ID"/>
        </w:rPr>
        <w:t xml:space="preserve">Dalam penelitian analisis yang dilakukan yaitu pengaruh dari makroekonomi, variabel makroekonomi yang digunakan adalah suku bunga BI dan infasi. BI </w:t>
      </w:r>
      <w:r>
        <w:rPr>
          <w:i/>
          <w:lang w:val="id-ID"/>
        </w:rPr>
        <w:t xml:space="preserve">rate </w:t>
      </w:r>
      <w:r>
        <w:rPr>
          <w:lang w:val="id-ID"/>
        </w:rPr>
        <w:t xml:space="preserve"> dan inflasi merupakan salah satu faktor makroekonomi yang dimana kebijakannya ditentukan oleh Bank Indonesia dan hal tersebut tentunya dapat berpengaruh pada penentuan suku bunga yang ditentukan oleh sektor perbankan yang akan berdampak pada profitabiitas perbankan. BI </w:t>
      </w:r>
      <w:r>
        <w:rPr>
          <w:i/>
          <w:lang w:val="id-ID"/>
        </w:rPr>
        <w:t xml:space="preserve">rate </w:t>
      </w:r>
      <w:r>
        <w:rPr>
          <w:lang w:val="id-ID"/>
        </w:rPr>
        <w:t>dan inflasi selama periode 2012-2016 mengalami pertumbuhan yang cukup tinggi dalam peningkatannya.</w:t>
      </w:r>
    </w:p>
    <w:p w:rsidR="00C37AC2" w:rsidRPr="00C37AC2" w:rsidRDefault="00C37AC2" w:rsidP="003238B7">
      <w:pPr>
        <w:pStyle w:val="BodyText"/>
        <w:spacing w:before="88"/>
        <w:ind w:firstLine="276"/>
        <w:rPr>
          <w:lang w:val="id-ID"/>
        </w:rPr>
      </w:pPr>
    </w:p>
    <w:p w:rsidR="00FB4C2F" w:rsidRDefault="00C37AC2">
      <w:pPr>
        <w:pStyle w:val="BodyText"/>
        <w:spacing w:before="88"/>
        <w:rPr>
          <w:lang w:val="id-ID"/>
        </w:rPr>
      </w:pPr>
      <w:r>
        <w:t xml:space="preserve">Tabel 1. </w:t>
      </w:r>
      <w:r>
        <w:rPr>
          <w:lang w:val="id-ID"/>
        </w:rPr>
        <w:t xml:space="preserve">Rata-rata BI </w:t>
      </w:r>
      <w:r>
        <w:rPr>
          <w:i/>
          <w:lang w:val="id-ID"/>
        </w:rPr>
        <w:t xml:space="preserve">rate, </w:t>
      </w:r>
      <w:r>
        <w:rPr>
          <w:lang w:val="id-ID"/>
        </w:rPr>
        <w:t>inflasi dan profitabilitas (ROA) peri</w:t>
      </w:r>
      <w:r w:rsidR="000078DC">
        <w:rPr>
          <w:lang w:val="id-ID"/>
        </w:rPr>
        <w:t>ode 2012-2016</w:t>
      </w:r>
    </w:p>
    <w:p w:rsidR="000078DC" w:rsidRDefault="000078DC">
      <w:pPr>
        <w:pStyle w:val="BodyText"/>
        <w:spacing w:before="88"/>
        <w:rPr>
          <w:lang w:val="id-I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9"/>
        <w:gridCol w:w="990"/>
        <w:gridCol w:w="1112"/>
        <w:gridCol w:w="3332"/>
      </w:tblGrid>
      <w:tr w:rsidR="000078DC" w:rsidRPr="000078DC" w:rsidTr="000078DC">
        <w:trPr>
          <w:trHeight w:val="207"/>
          <w:jc w:val="center"/>
        </w:trPr>
        <w:tc>
          <w:tcPr>
            <w:tcW w:w="929" w:type="dxa"/>
            <w:vAlign w:val="center"/>
          </w:tcPr>
          <w:p w:rsidR="000078DC" w:rsidRPr="000078DC" w:rsidRDefault="000078DC" w:rsidP="00315D27">
            <w:pPr>
              <w:jc w:val="center"/>
              <w:rPr>
                <w:sz w:val="20"/>
                <w:szCs w:val="20"/>
              </w:rPr>
            </w:pPr>
            <w:r w:rsidRPr="000078DC">
              <w:rPr>
                <w:sz w:val="20"/>
                <w:szCs w:val="20"/>
              </w:rPr>
              <w:t>Tahun</w:t>
            </w:r>
          </w:p>
        </w:tc>
        <w:tc>
          <w:tcPr>
            <w:tcW w:w="990" w:type="dxa"/>
            <w:vAlign w:val="center"/>
          </w:tcPr>
          <w:p w:rsidR="000078DC" w:rsidRPr="000078DC" w:rsidRDefault="000078DC" w:rsidP="00315D27">
            <w:pPr>
              <w:jc w:val="center"/>
              <w:rPr>
                <w:sz w:val="20"/>
                <w:szCs w:val="20"/>
              </w:rPr>
            </w:pPr>
            <w:r w:rsidRPr="000078DC">
              <w:rPr>
                <w:sz w:val="20"/>
                <w:szCs w:val="20"/>
              </w:rPr>
              <w:t>BI Rate (%)</w:t>
            </w:r>
          </w:p>
        </w:tc>
        <w:tc>
          <w:tcPr>
            <w:tcW w:w="1112" w:type="dxa"/>
            <w:vAlign w:val="center"/>
          </w:tcPr>
          <w:p w:rsidR="000078DC" w:rsidRPr="000078DC" w:rsidRDefault="000078DC" w:rsidP="00315D27">
            <w:pPr>
              <w:jc w:val="center"/>
              <w:rPr>
                <w:sz w:val="20"/>
                <w:szCs w:val="20"/>
              </w:rPr>
            </w:pPr>
            <w:r w:rsidRPr="000078DC">
              <w:rPr>
                <w:sz w:val="20"/>
                <w:szCs w:val="20"/>
              </w:rPr>
              <w:t>Inflasi (%)</w:t>
            </w:r>
          </w:p>
        </w:tc>
        <w:tc>
          <w:tcPr>
            <w:tcW w:w="3332" w:type="dxa"/>
            <w:vAlign w:val="center"/>
          </w:tcPr>
          <w:p w:rsidR="000078DC" w:rsidRPr="000078DC" w:rsidRDefault="000078DC" w:rsidP="00315D27">
            <w:pPr>
              <w:jc w:val="center"/>
              <w:rPr>
                <w:sz w:val="20"/>
                <w:szCs w:val="20"/>
              </w:rPr>
            </w:pPr>
            <w:r w:rsidRPr="000078DC">
              <w:rPr>
                <w:sz w:val="20"/>
                <w:szCs w:val="20"/>
              </w:rPr>
              <w:t>Profitabilitas (ROA)</w:t>
            </w:r>
            <w:r w:rsidRPr="000078DC">
              <w:rPr>
                <w:sz w:val="20"/>
                <w:szCs w:val="20"/>
              </w:rPr>
              <w:br/>
              <w:t>Bank Swasta Devisa (%)</w:t>
            </w:r>
          </w:p>
        </w:tc>
      </w:tr>
      <w:tr w:rsidR="000078DC" w:rsidRPr="000078DC" w:rsidTr="000078DC">
        <w:trPr>
          <w:jc w:val="center"/>
        </w:trPr>
        <w:tc>
          <w:tcPr>
            <w:tcW w:w="929" w:type="dxa"/>
            <w:vAlign w:val="center"/>
          </w:tcPr>
          <w:p w:rsidR="000078DC" w:rsidRPr="000078DC" w:rsidRDefault="000078DC" w:rsidP="00315D27">
            <w:pPr>
              <w:jc w:val="center"/>
              <w:rPr>
                <w:sz w:val="20"/>
                <w:szCs w:val="20"/>
              </w:rPr>
            </w:pPr>
            <w:r w:rsidRPr="000078DC">
              <w:rPr>
                <w:sz w:val="20"/>
                <w:szCs w:val="20"/>
              </w:rPr>
              <w:t>2012</w:t>
            </w:r>
          </w:p>
        </w:tc>
        <w:tc>
          <w:tcPr>
            <w:tcW w:w="990" w:type="dxa"/>
            <w:vAlign w:val="center"/>
          </w:tcPr>
          <w:p w:rsidR="000078DC" w:rsidRPr="000078DC" w:rsidRDefault="000078DC" w:rsidP="00315D27">
            <w:pPr>
              <w:jc w:val="center"/>
              <w:rPr>
                <w:color w:val="000000" w:themeColor="text1"/>
                <w:sz w:val="20"/>
                <w:szCs w:val="20"/>
              </w:rPr>
            </w:pPr>
            <w:r w:rsidRPr="000078DC">
              <w:rPr>
                <w:color w:val="000000" w:themeColor="text1"/>
                <w:sz w:val="20"/>
                <w:szCs w:val="20"/>
              </w:rPr>
              <w:t>5.77</w:t>
            </w:r>
          </w:p>
        </w:tc>
        <w:tc>
          <w:tcPr>
            <w:tcW w:w="1112" w:type="dxa"/>
            <w:vAlign w:val="center"/>
          </w:tcPr>
          <w:p w:rsidR="000078DC" w:rsidRPr="000078DC" w:rsidRDefault="000078DC" w:rsidP="00315D27">
            <w:pPr>
              <w:jc w:val="center"/>
              <w:rPr>
                <w:color w:val="000000" w:themeColor="text1"/>
                <w:sz w:val="20"/>
                <w:szCs w:val="20"/>
              </w:rPr>
            </w:pPr>
            <w:r w:rsidRPr="000078DC">
              <w:rPr>
                <w:color w:val="000000" w:themeColor="text1"/>
                <w:sz w:val="20"/>
                <w:szCs w:val="20"/>
              </w:rPr>
              <w:t>4.27</w:t>
            </w:r>
          </w:p>
        </w:tc>
        <w:tc>
          <w:tcPr>
            <w:tcW w:w="3332" w:type="dxa"/>
            <w:vAlign w:val="center"/>
          </w:tcPr>
          <w:p w:rsidR="000078DC" w:rsidRPr="000078DC" w:rsidRDefault="000078DC" w:rsidP="00315D27">
            <w:pPr>
              <w:jc w:val="center"/>
              <w:rPr>
                <w:sz w:val="20"/>
                <w:szCs w:val="20"/>
              </w:rPr>
            </w:pPr>
            <w:r w:rsidRPr="000078DC">
              <w:rPr>
                <w:sz w:val="20"/>
                <w:szCs w:val="20"/>
              </w:rPr>
              <w:t>1.49</w:t>
            </w:r>
          </w:p>
        </w:tc>
      </w:tr>
      <w:tr w:rsidR="000078DC" w:rsidRPr="000078DC" w:rsidTr="000078DC">
        <w:trPr>
          <w:jc w:val="center"/>
        </w:trPr>
        <w:tc>
          <w:tcPr>
            <w:tcW w:w="929" w:type="dxa"/>
            <w:vAlign w:val="center"/>
          </w:tcPr>
          <w:p w:rsidR="000078DC" w:rsidRPr="000078DC" w:rsidRDefault="000078DC" w:rsidP="00315D27">
            <w:pPr>
              <w:jc w:val="center"/>
              <w:rPr>
                <w:sz w:val="20"/>
                <w:szCs w:val="20"/>
              </w:rPr>
            </w:pPr>
            <w:r w:rsidRPr="000078DC">
              <w:rPr>
                <w:sz w:val="20"/>
                <w:szCs w:val="20"/>
              </w:rPr>
              <w:t>2013</w:t>
            </w:r>
          </w:p>
        </w:tc>
        <w:tc>
          <w:tcPr>
            <w:tcW w:w="990" w:type="dxa"/>
            <w:vAlign w:val="center"/>
          </w:tcPr>
          <w:p w:rsidR="000078DC" w:rsidRPr="000078DC" w:rsidRDefault="000078DC" w:rsidP="00315D27">
            <w:pPr>
              <w:jc w:val="center"/>
              <w:rPr>
                <w:color w:val="000000" w:themeColor="text1"/>
                <w:sz w:val="20"/>
                <w:szCs w:val="20"/>
              </w:rPr>
            </w:pPr>
            <w:r w:rsidRPr="000078DC">
              <w:rPr>
                <w:color w:val="000000" w:themeColor="text1"/>
                <w:sz w:val="20"/>
                <w:szCs w:val="20"/>
              </w:rPr>
              <w:t>6.47</w:t>
            </w:r>
          </w:p>
        </w:tc>
        <w:tc>
          <w:tcPr>
            <w:tcW w:w="1112" w:type="dxa"/>
            <w:vAlign w:val="center"/>
          </w:tcPr>
          <w:p w:rsidR="000078DC" w:rsidRPr="000078DC" w:rsidRDefault="000078DC" w:rsidP="00315D27">
            <w:pPr>
              <w:jc w:val="center"/>
              <w:rPr>
                <w:color w:val="000000" w:themeColor="text1"/>
                <w:sz w:val="20"/>
                <w:szCs w:val="20"/>
              </w:rPr>
            </w:pPr>
            <w:r w:rsidRPr="000078DC">
              <w:rPr>
                <w:color w:val="000000" w:themeColor="text1"/>
                <w:sz w:val="20"/>
                <w:szCs w:val="20"/>
              </w:rPr>
              <w:t>6.96</w:t>
            </w:r>
          </w:p>
        </w:tc>
        <w:tc>
          <w:tcPr>
            <w:tcW w:w="3332" w:type="dxa"/>
            <w:vAlign w:val="center"/>
          </w:tcPr>
          <w:p w:rsidR="000078DC" w:rsidRPr="000078DC" w:rsidRDefault="000078DC" w:rsidP="00315D27">
            <w:pPr>
              <w:jc w:val="center"/>
              <w:rPr>
                <w:sz w:val="20"/>
                <w:szCs w:val="20"/>
              </w:rPr>
            </w:pPr>
            <w:r w:rsidRPr="000078DC">
              <w:rPr>
                <w:sz w:val="20"/>
                <w:szCs w:val="20"/>
              </w:rPr>
              <w:t>1.43</w:t>
            </w:r>
          </w:p>
        </w:tc>
      </w:tr>
      <w:tr w:rsidR="000078DC" w:rsidRPr="000078DC" w:rsidTr="000078DC">
        <w:trPr>
          <w:jc w:val="center"/>
        </w:trPr>
        <w:tc>
          <w:tcPr>
            <w:tcW w:w="929" w:type="dxa"/>
            <w:vAlign w:val="center"/>
          </w:tcPr>
          <w:p w:rsidR="000078DC" w:rsidRPr="000078DC" w:rsidRDefault="000078DC" w:rsidP="00315D27">
            <w:pPr>
              <w:jc w:val="center"/>
              <w:rPr>
                <w:sz w:val="20"/>
                <w:szCs w:val="20"/>
              </w:rPr>
            </w:pPr>
            <w:r w:rsidRPr="000078DC">
              <w:rPr>
                <w:sz w:val="20"/>
                <w:szCs w:val="20"/>
              </w:rPr>
              <w:t>2014</w:t>
            </w:r>
          </w:p>
        </w:tc>
        <w:tc>
          <w:tcPr>
            <w:tcW w:w="990" w:type="dxa"/>
            <w:vAlign w:val="center"/>
          </w:tcPr>
          <w:p w:rsidR="000078DC" w:rsidRPr="000078DC" w:rsidRDefault="000078DC" w:rsidP="00315D27">
            <w:pPr>
              <w:jc w:val="center"/>
              <w:rPr>
                <w:color w:val="000000" w:themeColor="text1"/>
                <w:sz w:val="20"/>
                <w:szCs w:val="20"/>
              </w:rPr>
            </w:pPr>
            <w:r w:rsidRPr="000078DC">
              <w:rPr>
                <w:color w:val="000000" w:themeColor="text1"/>
                <w:sz w:val="20"/>
                <w:szCs w:val="20"/>
              </w:rPr>
              <w:t>7.54</w:t>
            </w:r>
          </w:p>
        </w:tc>
        <w:tc>
          <w:tcPr>
            <w:tcW w:w="1112" w:type="dxa"/>
            <w:vAlign w:val="center"/>
          </w:tcPr>
          <w:p w:rsidR="000078DC" w:rsidRPr="000078DC" w:rsidRDefault="000078DC" w:rsidP="00315D27">
            <w:pPr>
              <w:jc w:val="center"/>
              <w:rPr>
                <w:color w:val="000000" w:themeColor="text1"/>
                <w:sz w:val="20"/>
                <w:szCs w:val="20"/>
              </w:rPr>
            </w:pPr>
            <w:r w:rsidRPr="000078DC">
              <w:rPr>
                <w:color w:val="000000" w:themeColor="text1"/>
                <w:sz w:val="20"/>
                <w:szCs w:val="20"/>
              </w:rPr>
              <w:t>6.41</w:t>
            </w:r>
          </w:p>
        </w:tc>
        <w:tc>
          <w:tcPr>
            <w:tcW w:w="3332" w:type="dxa"/>
            <w:vAlign w:val="center"/>
          </w:tcPr>
          <w:p w:rsidR="000078DC" w:rsidRPr="000078DC" w:rsidRDefault="000078DC" w:rsidP="00315D27">
            <w:pPr>
              <w:jc w:val="center"/>
              <w:rPr>
                <w:sz w:val="20"/>
                <w:szCs w:val="20"/>
              </w:rPr>
            </w:pPr>
            <w:r w:rsidRPr="000078DC">
              <w:rPr>
                <w:sz w:val="20"/>
                <w:szCs w:val="20"/>
              </w:rPr>
              <w:t>1.09</w:t>
            </w:r>
          </w:p>
        </w:tc>
      </w:tr>
      <w:tr w:rsidR="000078DC" w:rsidRPr="000078DC" w:rsidTr="000078DC">
        <w:trPr>
          <w:jc w:val="center"/>
        </w:trPr>
        <w:tc>
          <w:tcPr>
            <w:tcW w:w="929" w:type="dxa"/>
            <w:vAlign w:val="center"/>
          </w:tcPr>
          <w:p w:rsidR="000078DC" w:rsidRPr="000078DC" w:rsidRDefault="000078DC" w:rsidP="00315D27">
            <w:pPr>
              <w:jc w:val="center"/>
              <w:rPr>
                <w:sz w:val="20"/>
                <w:szCs w:val="20"/>
              </w:rPr>
            </w:pPr>
            <w:r w:rsidRPr="000078DC">
              <w:rPr>
                <w:sz w:val="20"/>
                <w:szCs w:val="20"/>
              </w:rPr>
              <w:t>2015</w:t>
            </w:r>
          </w:p>
        </w:tc>
        <w:tc>
          <w:tcPr>
            <w:tcW w:w="990" w:type="dxa"/>
            <w:vAlign w:val="center"/>
          </w:tcPr>
          <w:p w:rsidR="000078DC" w:rsidRPr="000078DC" w:rsidRDefault="000078DC" w:rsidP="00315D27">
            <w:pPr>
              <w:jc w:val="center"/>
              <w:rPr>
                <w:color w:val="000000" w:themeColor="text1"/>
                <w:sz w:val="20"/>
                <w:szCs w:val="20"/>
              </w:rPr>
            </w:pPr>
            <w:r w:rsidRPr="000078DC">
              <w:rPr>
                <w:color w:val="000000" w:themeColor="text1"/>
                <w:sz w:val="20"/>
                <w:szCs w:val="20"/>
              </w:rPr>
              <w:t>7.52</w:t>
            </w:r>
          </w:p>
        </w:tc>
        <w:tc>
          <w:tcPr>
            <w:tcW w:w="1112" w:type="dxa"/>
            <w:vAlign w:val="center"/>
          </w:tcPr>
          <w:p w:rsidR="000078DC" w:rsidRPr="000078DC" w:rsidRDefault="000078DC" w:rsidP="00315D27">
            <w:pPr>
              <w:jc w:val="center"/>
              <w:rPr>
                <w:color w:val="000000" w:themeColor="text1"/>
                <w:sz w:val="20"/>
                <w:szCs w:val="20"/>
              </w:rPr>
            </w:pPr>
            <w:r w:rsidRPr="000078DC">
              <w:rPr>
                <w:color w:val="000000" w:themeColor="text1"/>
                <w:sz w:val="20"/>
                <w:szCs w:val="20"/>
              </w:rPr>
              <w:t>6.38</w:t>
            </w:r>
          </w:p>
        </w:tc>
        <w:tc>
          <w:tcPr>
            <w:tcW w:w="3332" w:type="dxa"/>
            <w:vAlign w:val="center"/>
          </w:tcPr>
          <w:p w:rsidR="000078DC" w:rsidRPr="000078DC" w:rsidRDefault="000078DC" w:rsidP="00315D27">
            <w:pPr>
              <w:jc w:val="center"/>
              <w:rPr>
                <w:sz w:val="20"/>
                <w:szCs w:val="20"/>
              </w:rPr>
            </w:pPr>
            <w:r w:rsidRPr="000078DC">
              <w:rPr>
                <w:sz w:val="20"/>
                <w:szCs w:val="20"/>
              </w:rPr>
              <w:t>1.05</w:t>
            </w:r>
          </w:p>
        </w:tc>
      </w:tr>
      <w:tr w:rsidR="000078DC" w:rsidRPr="000078DC" w:rsidTr="000078DC">
        <w:trPr>
          <w:jc w:val="center"/>
        </w:trPr>
        <w:tc>
          <w:tcPr>
            <w:tcW w:w="929" w:type="dxa"/>
            <w:vAlign w:val="center"/>
          </w:tcPr>
          <w:p w:rsidR="000078DC" w:rsidRPr="000078DC" w:rsidRDefault="000078DC" w:rsidP="00315D27">
            <w:pPr>
              <w:jc w:val="center"/>
              <w:rPr>
                <w:sz w:val="20"/>
                <w:szCs w:val="20"/>
              </w:rPr>
            </w:pPr>
            <w:r w:rsidRPr="000078DC">
              <w:rPr>
                <w:sz w:val="20"/>
                <w:szCs w:val="20"/>
              </w:rPr>
              <w:t>2016</w:t>
            </w:r>
          </w:p>
        </w:tc>
        <w:tc>
          <w:tcPr>
            <w:tcW w:w="990" w:type="dxa"/>
            <w:vAlign w:val="center"/>
          </w:tcPr>
          <w:p w:rsidR="000078DC" w:rsidRPr="000078DC" w:rsidRDefault="000078DC" w:rsidP="00315D27">
            <w:pPr>
              <w:jc w:val="center"/>
              <w:rPr>
                <w:color w:val="000000" w:themeColor="text1"/>
                <w:sz w:val="20"/>
                <w:szCs w:val="20"/>
              </w:rPr>
            </w:pPr>
            <w:r w:rsidRPr="000078DC">
              <w:rPr>
                <w:color w:val="000000" w:themeColor="text1"/>
                <w:sz w:val="20"/>
                <w:szCs w:val="20"/>
              </w:rPr>
              <w:t>6</w:t>
            </w:r>
          </w:p>
        </w:tc>
        <w:tc>
          <w:tcPr>
            <w:tcW w:w="1112" w:type="dxa"/>
            <w:vAlign w:val="center"/>
          </w:tcPr>
          <w:p w:rsidR="000078DC" w:rsidRPr="000078DC" w:rsidRDefault="000078DC" w:rsidP="00315D27">
            <w:pPr>
              <w:jc w:val="center"/>
              <w:rPr>
                <w:color w:val="000000" w:themeColor="text1"/>
                <w:sz w:val="20"/>
                <w:szCs w:val="20"/>
              </w:rPr>
            </w:pPr>
            <w:r w:rsidRPr="000078DC">
              <w:rPr>
                <w:color w:val="000000" w:themeColor="text1"/>
                <w:sz w:val="20"/>
                <w:szCs w:val="20"/>
              </w:rPr>
              <w:t>3.53</w:t>
            </w:r>
          </w:p>
        </w:tc>
        <w:tc>
          <w:tcPr>
            <w:tcW w:w="3332" w:type="dxa"/>
            <w:vAlign w:val="center"/>
          </w:tcPr>
          <w:p w:rsidR="000078DC" w:rsidRPr="000078DC" w:rsidRDefault="000078DC" w:rsidP="00315D27">
            <w:pPr>
              <w:jc w:val="center"/>
              <w:rPr>
                <w:sz w:val="20"/>
                <w:szCs w:val="20"/>
              </w:rPr>
            </w:pPr>
            <w:r w:rsidRPr="000078DC">
              <w:rPr>
                <w:sz w:val="20"/>
                <w:szCs w:val="20"/>
              </w:rPr>
              <w:t>1.18</w:t>
            </w:r>
          </w:p>
        </w:tc>
      </w:tr>
    </w:tbl>
    <w:p w:rsidR="00FB4C2F" w:rsidRDefault="00315D27" w:rsidP="00315D27">
      <w:pPr>
        <w:pStyle w:val="BodyText"/>
        <w:spacing w:before="8"/>
        <w:ind w:left="0"/>
        <w:rPr>
          <w:color w:val="000000" w:themeColor="text1"/>
          <w:lang w:val="id-ID"/>
        </w:rPr>
      </w:pPr>
      <w:r>
        <w:rPr>
          <w:sz w:val="16"/>
          <w:lang w:val="id-ID"/>
        </w:rPr>
        <w:br/>
        <w:t xml:space="preserve">                                      Sumber : </w:t>
      </w:r>
      <w:r w:rsidRPr="00315D27">
        <w:rPr>
          <w:color w:val="000000" w:themeColor="text1"/>
        </w:rPr>
        <w:t xml:space="preserve">Data olahan dari </w:t>
      </w:r>
      <w:hyperlink r:id="rId8" w:history="1">
        <w:r w:rsidRPr="00315D27">
          <w:rPr>
            <w:rStyle w:val="Hyperlink"/>
            <w:color w:val="000000" w:themeColor="text1"/>
            <w:u w:val="none"/>
          </w:rPr>
          <w:t>www.bi.go.id</w:t>
        </w:r>
      </w:hyperlink>
      <w:r w:rsidRPr="00315D27">
        <w:rPr>
          <w:color w:val="000000" w:themeColor="text1"/>
          <w:lang w:val="id-ID"/>
        </w:rPr>
        <w:t xml:space="preserve"> </w:t>
      </w:r>
      <w:hyperlink r:id="rId9" w:history="1">
        <w:r w:rsidRPr="00315D27">
          <w:rPr>
            <w:rStyle w:val="Hyperlink"/>
            <w:color w:val="000000" w:themeColor="text1"/>
            <w:u w:val="none"/>
          </w:rPr>
          <w:t>www.idx.co.id</w:t>
        </w:r>
      </w:hyperlink>
    </w:p>
    <w:p w:rsidR="00315D27" w:rsidRPr="00315D27" w:rsidRDefault="00315D27" w:rsidP="00315D27">
      <w:pPr>
        <w:pStyle w:val="BodyText"/>
        <w:spacing w:before="8"/>
        <w:ind w:left="0"/>
        <w:rPr>
          <w:color w:val="000000" w:themeColor="text1"/>
          <w:lang w:val="id-ID"/>
        </w:rPr>
      </w:pPr>
    </w:p>
    <w:p w:rsidR="00315D27" w:rsidRPr="00315D27" w:rsidRDefault="00315D27" w:rsidP="00315D27">
      <w:pPr>
        <w:ind w:left="426" w:firstLine="567"/>
        <w:jc w:val="both"/>
        <w:rPr>
          <w:sz w:val="20"/>
          <w:szCs w:val="20"/>
        </w:rPr>
      </w:pPr>
      <w:r w:rsidRPr="00315D27">
        <w:rPr>
          <w:sz w:val="20"/>
          <w:szCs w:val="20"/>
        </w:rPr>
        <w:t>Tabel diatas menunjukkan perkemb</w:t>
      </w:r>
      <w:bookmarkStart w:id="0" w:name="_GoBack"/>
      <w:bookmarkEnd w:id="0"/>
      <w:r w:rsidRPr="00315D27">
        <w:rPr>
          <w:sz w:val="20"/>
          <w:szCs w:val="20"/>
        </w:rPr>
        <w:t xml:space="preserve">angan BI </w:t>
      </w:r>
      <w:r w:rsidRPr="00315D27">
        <w:rPr>
          <w:i/>
          <w:sz w:val="20"/>
          <w:szCs w:val="20"/>
        </w:rPr>
        <w:t>rate</w:t>
      </w:r>
      <w:r w:rsidRPr="00315D27">
        <w:rPr>
          <w:sz w:val="20"/>
          <w:szCs w:val="20"/>
        </w:rPr>
        <w:t xml:space="preserve">, inflasi, dan profitabilitas (ROA) periode 2012-2016 pada Bank swasta devisa. Dapat dilihat dari tabel tersebut pertumbuhan BI </w:t>
      </w:r>
      <w:r w:rsidRPr="00315D27">
        <w:rPr>
          <w:i/>
          <w:sz w:val="20"/>
          <w:szCs w:val="20"/>
        </w:rPr>
        <w:t>rate</w:t>
      </w:r>
      <w:r w:rsidRPr="00315D27">
        <w:rPr>
          <w:sz w:val="20"/>
          <w:szCs w:val="20"/>
        </w:rPr>
        <w:t xml:space="preserve">, inflasi dan profitabilitas mengalami pertumbuhan yang berfluktuatif serta terdapat perbedaan antara BI </w:t>
      </w:r>
      <w:r w:rsidRPr="00315D27">
        <w:rPr>
          <w:i/>
          <w:sz w:val="20"/>
          <w:szCs w:val="20"/>
        </w:rPr>
        <w:t>rate,</w:t>
      </w:r>
      <w:r w:rsidRPr="00315D27">
        <w:rPr>
          <w:sz w:val="20"/>
          <w:szCs w:val="20"/>
        </w:rPr>
        <w:t xml:space="preserve"> inflasi, dan profitabilitas. BI </w:t>
      </w:r>
      <w:r w:rsidRPr="00315D27">
        <w:rPr>
          <w:i/>
          <w:sz w:val="20"/>
          <w:szCs w:val="20"/>
        </w:rPr>
        <w:t>rate</w:t>
      </w:r>
      <w:r w:rsidRPr="00315D27">
        <w:rPr>
          <w:sz w:val="20"/>
          <w:szCs w:val="20"/>
        </w:rPr>
        <w:t xml:space="preserve"> dan Inflasi periode 2012-2016 mengalami kenaikan pada tahun 2013-2014 dan mengalami penurunan pada tahun 2015-2016.Sedangkan pada profitabilitas (ROA) bank swasta devisa mengalami penurunan pada tahun 2013-2015 dan mengalami kenaikan pada tahun 2016. Dilihat dari tabel tersebut profitabilitas (ROA) pada tahun 2012, 2013, 2014 mengalami penurunan dimana BI </w:t>
      </w:r>
      <w:r w:rsidRPr="00315D27">
        <w:rPr>
          <w:i/>
          <w:sz w:val="20"/>
          <w:szCs w:val="20"/>
        </w:rPr>
        <w:t>Rate</w:t>
      </w:r>
      <w:r w:rsidRPr="00315D27">
        <w:rPr>
          <w:sz w:val="20"/>
          <w:szCs w:val="20"/>
        </w:rPr>
        <w:t xml:space="preserve">dan Inflasi mengalami kenaikan, berbeda dengan tahun 2015 profitabilitas (ROA) mengalami penurunan dimana BI Rate dan Inflasi mengalami penurunan. </w:t>
      </w:r>
    </w:p>
    <w:p w:rsidR="00315D27" w:rsidRPr="00315D27" w:rsidRDefault="00315D27" w:rsidP="00315D27">
      <w:pPr>
        <w:pStyle w:val="BodyText"/>
        <w:spacing w:before="8"/>
        <w:ind w:left="0"/>
        <w:rPr>
          <w:sz w:val="16"/>
          <w:lang w:val="id-ID"/>
        </w:rPr>
      </w:pPr>
    </w:p>
    <w:p w:rsidR="00FB4C2F" w:rsidRDefault="009B3F02">
      <w:pPr>
        <w:pStyle w:val="Heading2"/>
        <w:numPr>
          <w:ilvl w:val="0"/>
          <w:numId w:val="3"/>
        </w:numPr>
        <w:tabs>
          <w:tab w:val="left" w:pos="363"/>
        </w:tabs>
        <w:spacing w:before="30" w:line="410" w:lineRule="atLeast"/>
        <w:ind w:right="3542" w:hanging="283"/>
      </w:pPr>
      <w:r>
        <w:t>Tinjauan</w:t>
      </w:r>
      <w:r>
        <w:rPr>
          <w:spacing w:val="-10"/>
        </w:rPr>
        <w:t xml:space="preserve"> </w:t>
      </w:r>
      <w:r>
        <w:t>Pustaka,</w:t>
      </w:r>
      <w:r>
        <w:rPr>
          <w:spacing w:val="-9"/>
        </w:rPr>
        <w:t xml:space="preserve"> </w:t>
      </w:r>
      <w:r>
        <w:t>Penelitian</w:t>
      </w:r>
      <w:r>
        <w:rPr>
          <w:spacing w:val="-11"/>
        </w:rPr>
        <w:t xml:space="preserve"> </w:t>
      </w:r>
      <w:r>
        <w:t>Terdahulu</w:t>
      </w:r>
      <w:r>
        <w:rPr>
          <w:spacing w:val="-10"/>
        </w:rPr>
        <w:t xml:space="preserve"> </w:t>
      </w:r>
      <w:r>
        <w:t>dan</w:t>
      </w:r>
      <w:r>
        <w:rPr>
          <w:spacing w:val="-4"/>
        </w:rPr>
        <w:t xml:space="preserve"> </w:t>
      </w:r>
      <w:r>
        <w:t>Hipotesis</w:t>
      </w:r>
      <w:r>
        <w:rPr>
          <w:spacing w:val="-8"/>
        </w:rPr>
        <w:t xml:space="preserve"> </w:t>
      </w:r>
      <w:r>
        <w:t>Peneli</w:t>
      </w:r>
      <w:r w:rsidR="00E572A3">
        <w:t xml:space="preserve">tian Pengertian </w:t>
      </w:r>
      <w:r w:rsidR="00E572A3">
        <w:rPr>
          <w:lang w:val="id-ID"/>
        </w:rPr>
        <w:t xml:space="preserve">Perbankan </w:t>
      </w:r>
    </w:p>
    <w:p w:rsidR="00FB4C2F" w:rsidRPr="00E572A3" w:rsidRDefault="00E572A3">
      <w:pPr>
        <w:pStyle w:val="BodyText"/>
        <w:spacing w:before="118" w:line="228" w:lineRule="auto"/>
        <w:ind w:right="163" w:firstLine="280"/>
        <w:jc w:val="both"/>
        <w:rPr>
          <w:lang w:val="id-ID"/>
        </w:rPr>
      </w:pPr>
      <w:r w:rsidRPr="00E572A3">
        <w:t>pengertian bank adalah badan usaha yang menghimpun dana dari masyarakat dalam bentuk simpanan dan menyalurkannya kepada masyarakat dalam bentuk kredit dan/atau bentuk-bentuk lainnya dalam rangka meningkatkan taraf hidup rakyat banyak.</w:t>
      </w:r>
    </w:p>
    <w:p w:rsidR="00E572A3" w:rsidRPr="00E572A3" w:rsidRDefault="00E572A3" w:rsidP="00E572A3">
      <w:pPr>
        <w:pStyle w:val="Heading2"/>
        <w:spacing w:before="125"/>
        <w:rPr>
          <w:i/>
          <w:lang w:val="id-ID"/>
        </w:rPr>
      </w:pPr>
      <w:r>
        <w:t xml:space="preserve">Pengertian </w:t>
      </w:r>
      <w:r>
        <w:rPr>
          <w:lang w:val="id-ID"/>
        </w:rPr>
        <w:t xml:space="preserve">BI </w:t>
      </w:r>
      <w:r>
        <w:rPr>
          <w:i/>
          <w:lang w:val="id-ID"/>
        </w:rPr>
        <w:t>Rate</w:t>
      </w:r>
      <w:r>
        <w:rPr>
          <w:i/>
          <w:lang w:val="id-ID"/>
        </w:rPr>
        <w:br/>
      </w:r>
    </w:p>
    <w:p w:rsidR="00FB4C2F" w:rsidRPr="00E572A3" w:rsidRDefault="009B3F02" w:rsidP="00E572A3">
      <w:pPr>
        <w:pStyle w:val="ListParagraph"/>
        <w:ind w:left="426" w:firstLine="283"/>
        <w:jc w:val="both"/>
        <w:rPr>
          <w:sz w:val="24"/>
          <w:szCs w:val="24"/>
          <w:lang w:val="id-ID"/>
        </w:rPr>
      </w:pPr>
      <w:r w:rsidRPr="00E572A3">
        <w:rPr>
          <w:sz w:val="20"/>
          <w:szCs w:val="20"/>
        </w:rPr>
        <w:t>Laporan keuanan adalah menggambarkan kondisi keuangan dan hasil usaha perusahaan pada saat tert</w:t>
      </w:r>
      <w:r w:rsidR="00E572A3" w:rsidRPr="00E572A3">
        <w:rPr>
          <w:sz w:val="20"/>
          <w:szCs w:val="20"/>
        </w:rPr>
        <w:t xml:space="preserve">entu atau jangka waktu tertentu BI </w:t>
      </w:r>
      <w:r w:rsidR="00E572A3" w:rsidRPr="00E572A3">
        <w:rPr>
          <w:i/>
          <w:sz w:val="20"/>
          <w:szCs w:val="20"/>
        </w:rPr>
        <w:t>rate</w:t>
      </w:r>
      <w:r w:rsidR="00E572A3" w:rsidRPr="00E572A3">
        <w:rPr>
          <w:sz w:val="20"/>
          <w:szCs w:val="20"/>
        </w:rPr>
        <w:t xml:space="preserve"> merupakan sinyal berupa besaran angka dalam transmisi kebijakan moneter yang menunjukkan situasi terkini ekonomi, termasuk gambaran tentang tantangan dalam pencapaian target inflasi</w:t>
      </w:r>
      <w:r w:rsidR="00E572A3">
        <w:rPr>
          <w:sz w:val="24"/>
        </w:rPr>
        <w:t>.</w:t>
      </w:r>
    </w:p>
    <w:p w:rsidR="00FB4C2F" w:rsidRPr="00E572A3" w:rsidRDefault="00E572A3" w:rsidP="00E572A3">
      <w:pPr>
        <w:pStyle w:val="Heading2"/>
        <w:spacing w:before="124"/>
        <w:rPr>
          <w:lang w:val="id-ID"/>
        </w:rPr>
      </w:pPr>
      <w:r>
        <w:rPr>
          <w:lang w:val="id-ID"/>
        </w:rPr>
        <w:t>Pengertian Inflasi</w:t>
      </w:r>
    </w:p>
    <w:p w:rsidR="00FB4C2F" w:rsidRPr="004B7B29" w:rsidRDefault="004B7B29" w:rsidP="004B7B29">
      <w:pPr>
        <w:pStyle w:val="BodyText"/>
        <w:spacing w:before="109"/>
        <w:ind w:right="157" w:firstLine="276"/>
        <w:jc w:val="both"/>
        <w:rPr>
          <w:lang w:val="id-ID"/>
        </w:rPr>
      </w:pPr>
      <w:r w:rsidRPr="004B7B29">
        <w:t>Inflasi adalah kecenderungan dari harga-harga untuk menaik secara terus menerus. Hal ini sering pula diikuti menurunnya tingkat tabungan dan atau investasi karena meningkatnya konsumsi masyarakat dan hanya sedikit untuk tabungan jangka panjang.</w:t>
      </w:r>
    </w:p>
    <w:p w:rsidR="00FB4C2F" w:rsidRPr="004B7B29" w:rsidRDefault="004B7B29">
      <w:pPr>
        <w:pStyle w:val="Heading2"/>
        <w:spacing w:before="131"/>
        <w:rPr>
          <w:lang w:val="id-ID"/>
        </w:rPr>
      </w:pPr>
      <w:r>
        <w:rPr>
          <w:lang w:val="id-ID"/>
        </w:rPr>
        <w:t>Pengertian Laporan Keuangan</w:t>
      </w:r>
    </w:p>
    <w:p w:rsidR="00FB4C2F" w:rsidRPr="004B7B29" w:rsidRDefault="004B7B29" w:rsidP="004B7B29">
      <w:pPr>
        <w:pStyle w:val="BodyText"/>
        <w:spacing w:before="104" w:line="230" w:lineRule="auto"/>
        <w:ind w:right="159" w:firstLine="280"/>
        <w:rPr>
          <w:lang w:val="id-ID"/>
        </w:rPr>
        <w:sectPr w:rsidR="00FB4C2F" w:rsidRPr="004B7B29">
          <w:headerReference w:type="even" r:id="rId10"/>
          <w:headerReference w:type="default" r:id="rId11"/>
          <w:footerReference w:type="even" r:id="rId12"/>
          <w:footerReference w:type="default" r:id="rId13"/>
          <w:headerReference w:type="first" r:id="rId14"/>
          <w:footerReference w:type="first" r:id="rId15"/>
          <w:pgSz w:w="11930" w:h="16850"/>
          <w:pgMar w:top="1300" w:right="1220" w:bottom="280" w:left="1260" w:header="533" w:footer="0" w:gutter="0"/>
          <w:cols w:space="720"/>
        </w:sectPr>
      </w:pPr>
      <w:r w:rsidRPr="004B7B29">
        <w:rPr>
          <w:color w:val="000000"/>
        </w:rPr>
        <w:t>laporan keuangan adalah laporan akuntansi yang menghasilkan informasi demikian disebut laporan keuangan, laporan keuangan yang utama bagi perusahaan perorangan adalah laporan laba rugi, laporan ekuitas pemilik, neraca, dan laporan arus kas.</w:t>
      </w:r>
    </w:p>
    <w:p w:rsidR="00FB4C2F" w:rsidRDefault="004B7B29">
      <w:pPr>
        <w:pStyle w:val="Heading2"/>
        <w:spacing w:before="90"/>
      </w:pPr>
      <w:r>
        <w:rPr>
          <w:lang w:val="id-ID"/>
        </w:rPr>
        <w:lastRenderedPageBreak/>
        <w:t>Pengertian</w:t>
      </w:r>
      <w:r w:rsidR="009B3F02">
        <w:t xml:space="preserve"> Profitabilitas</w:t>
      </w:r>
    </w:p>
    <w:p w:rsidR="00FB4C2F" w:rsidRPr="004B7B29" w:rsidRDefault="004B7B29" w:rsidP="004B7B29">
      <w:pPr>
        <w:pStyle w:val="BodyText"/>
        <w:spacing w:before="119" w:line="230" w:lineRule="auto"/>
        <w:ind w:right="254" w:firstLine="276"/>
        <w:jc w:val="both"/>
        <w:rPr>
          <w:lang w:val="id-ID"/>
        </w:rPr>
      </w:pPr>
      <w:r w:rsidRPr="004B7B29">
        <w:rPr>
          <w:sz w:val="24"/>
          <w:szCs w:val="24"/>
          <w:shd w:val="clear" w:color="auto" w:fill="FFFFFF"/>
        </w:rPr>
        <w:t xml:space="preserve"> </w:t>
      </w:r>
      <w:r w:rsidRPr="004B7B29">
        <w:rPr>
          <w:shd w:val="clear" w:color="auto" w:fill="FFFFFF"/>
        </w:rPr>
        <w:t>Profitabilitas adalah kemampuan perusahaan dalam memperoleh laba dalam hubungannya dengan tingkat penjualan, total aset, ataupun modal sendiri.</w:t>
      </w:r>
    </w:p>
    <w:p w:rsidR="00FB4C2F" w:rsidRDefault="009B3F02">
      <w:pPr>
        <w:pStyle w:val="Heading2"/>
        <w:spacing w:before="127"/>
        <w:rPr>
          <w:lang w:val="id-ID"/>
        </w:rPr>
      </w:pPr>
      <w:r>
        <w:t>Hipotesis Penelitian</w:t>
      </w:r>
    </w:p>
    <w:p w:rsidR="004B7B29" w:rsidRPr="00FD4123" w:rsidRDefault="004B7B29" w:rsidP="00FD4123">
      <w:pPr>
        <w:pStyle w:val="Heading2"/>
        <w:spacing w:before="127"/>
        <w:ind w:firstLine="276"/>
        <w:rPr>
          <w:b w:val="0"/>
          <w:lang w:val="id-ID"/>
        </w:rPr>
      </w:pPr>
      <w:r w:rsidRPr="00FD4123">
        <w:rPr>
          <w:b w:val="0"/>
        </w:rPr>
        <w:t xml:space="preserve">Adapun hipotesis yang dikemukakan dalam penelitian ini adalah BI </w:t>
      </w:r>
      <w:r w:rsidRPr="00FD4123">
        <w:rPr>
          <w:b w:val="0"/>
          <w:i/>
        </w:rPr>
        <w:t xml:space="preserve">rate </w:t>
      </w:r>
      <w:r w:rsidRPr="00FD4123">
        <w:rPr>
          <w:b w:val="0"/>
        </w:rPr>
        <w:t xml:space="preserve">berpengaruh terhadap profitabilitas, inflasi berpengaruh terhadap profitabilitas, BI </w:t>
      </w:r>
      <w:r w:rsidRPr="00FD4123">
        <w:rPr>
          <w:b w:val="0"/>
          <w:i/>
        </w:rPr>
        <w:t>rate</w:t>
      </w:r>
      <w:r w:rsidRPr="00FD4123">
        <w:rPr>
          <w:b w:val="0"/>
        </w:rPr>
        <w:t xml:space="preserve"> dan inflasi berpengaruh terhadap profitabilitas.</w:t>
      </w:r>
    </w:p>
    <w:p w:rsidR="00FB4C2F" w:rsidRDefault="009B3F02">
      <w:pPr>
        <w:pStyle w:val="Heading2"/>
        <w:numPr>
          <w:ilvl w:val="0"/>
          <w:numId w:val="3"/>
        </w:numPr>
        <w:tabs>
          <w:tab w:val="left" w:pos="419"/>
        </w:tabs>
        <w:spacing w:before="131"/>
        <w:ind w:left="418" w:hanging="248"/>
      </w:pPr>
      <w:r>
        <w:t>Metode</w:t>
      </w:r>
      <w:r>
        <w:rPr>
          <w:spacing w:val="-6"/>
        </w:rPr>
        <w:t xml:space="preserve"> </w:t>
      </w:r>
      <w:r>
        <w:t>Penelitian</w:t>
      </w:r>
    </w:p>
    <w:p w:rsidR="00FB4C2F" w:rsidRDefault="009B3F02" w:rsidP="00443587">
      <w:pPr>
        <w:pStyle w:val="BodyText"/>
        <w:spacing w:before="83"/>
        <w:ind w:left="0" w:right="159"/>
        <w:jc w:val="both"/>
        <w:rPr>
          <w:lang w:val="id-ID"/>
        </w:rPr>
      </w:pPr>
      <w:r>
        <w:t>Penelitian ini merupakan p</w:t>
      </w:r>
      <w:r w:rsidR="00FD4123">
        <w:t xml:space="preserve">enelitian deskriptif </w:t>
      </w:r>
      <w:r w:rsidR="00FD4123">
        <w:rPr>
          <w:lang w:val="id-ID"/>
        </w:rPr>
        <w:t>dan verifikatif</w:t>
      </w:r>
      <w:r>
        <w:t xml:space="preserve">. Jenis data yang dipakai adalah data </w:t>
      </w:r>
      <w:r>
        <w:rPr>
          <w:i/>
        </w:rPr>
        <w:t xml:space="preserve">time series </w:t>
      </w:r>
      <w:r>
        <w:t xml:space="preserve">dan </w:t>
      </w:r>
      <w:r>
        <w:rPr>
          <w:i/>
        </w:rPr>
        <w:t>cross section</w:t>
      </w:r>
      <w:r>
        <w:t>. Teknik analisis data yang digunakan adalah regresi data panel. Popul</w:t>
      </w:r>
      <w:r w:rsidR="00FD4123">
        <w:t xml:space="preserve">asi dari penelitian ini </w:t>
      </w:r>
      <w:r w:rsidR="00FD4123">
        <w:rPr>
          <w:lang w:val="id-ID"/>
        </w:rPr>
        <w:t>bank swasta devisa yang terdaftar di bursa efek indonesia</w:t>
      </w:r>
      <w:r>
        <w:t xml:space="preserve">. Sampel dari penelitian ini </w:t>
      </w:r>
      <w:r w:rsidR="00FD4123">
        <w:t xml:space="preserve">adalah </w:t>
      </w:r>
      <w:r w:rsidR="00FD4123">
        <w:rPr>
          <w:lang w:val="id-ID"/>
        </w:rPr>
        <w:t>16 bank swasta devisa yang terdaftar di bursa efek indonesia periode 2012-2016.</w:t>
      </w:r>
      <w:r w:rsidR="00FD4123" w:rsidRPr="00FD4123">
        <w:t xml:space="preserve"> </w:t>
      </w:r>
      <w:r w:rsidR="00FD4123">
        <w:t xml:space="preserve">Teknik sampling yang digunakan </w:t>
      </w:r>
      <w:r w:rsidR="00FD4123">
        <w:rPr>
          <w:lang w:val="id-ID"/>
        </w:rPr>
        <w:t>adalah</w:t>
      </w:r>
      <w:r w:rsidR="00FD4123">
        <w:t xml:space="preserve"> metode </w:t>
      </w:r>
      <w:r w:rsidR="00FD4123">
        <w:rPr>
          <w:i/>
        </w:rPr>
        <w:t xml:space="preserve">purposive sampling. </w:t>
      </w:r>
      <w:r w:rsidR="00FD4123">
        <w:t xml:space="preserve">Sumber data yang digunakan dalam penelitian ini adalah data sekunder, yakni laporan keuangan tahunan </w:t>
      </w:r>
      <w:r w:rsidR="00FD4123">
        <w:rPr>
          <w:lang w:val="id-ID"/>
        </w:rPr>
        <w:t>bank swasta devisa yang terdaftar di bursa efek indonesia periode 2012-2016.</w:t>
      </w:r>
    </w:p>
    <w:p w:rsidR="00443587" w:rsidRPr="00443587" w:rsidRDefault="00443587">
      <w:pPr>
        <w:pStyle w:val="Heading2"/>
        <w:numPr>
          <w:ilvl w:val="0"/>
          <w:numId w:val="3"/>
        </w:numPr>
        <w:tabs>
          <w:tab w:val="left" w:pos="414"/>
        </w:tabs>
        <w:spacing w:before="129" w:line="364" w:lineRule="auto"/>
        <w:ind w:right="6175" w:hanging="283"/>
        <w:rPr>
          <w:i/>
        </w:rPr>
      </w:pPr>
      <w:r>
        <w:rPr>
          <w:lang w:val="id-ID"/>
        </w:rPr>
        <w:t>Hasil Penelitian dan Pembahasan</w:t>
      </w:r>
    </w:p>
    <w:p w:rsidR="00FB4C2F" w:rsidRDefault="009B3F02" w:rsidP="00443587">
      <w:pPr>
        <w:pStyle w:val="Heading2"/>
        <w:tabs>
          <w:tab w:val="left" w:pos="414"/>
        </w:tabs>
        <w:spacing w:before="129" w:line="364" w:lineRule="auto"/>
        <w:ind w:right="6175"/>
        <w:rPr>
          <w:i/>
        </w:rPr>
      </w:pPr>
      <w:r>
        <w:t>Uji</w:t>
      </w:r>
      <w:r>
        <w:rPr>
          <w:spacing w:val="-4"/>
        </w:rPr>
        <w:t xml:space="preserve"> </w:t>
      </w:r>
      <w:r>
        <w:rPr>
          <w:i/>
        </w:rPr>
        <w:t>Chow</w:t>
      </w:r>
    </w:p>
    <w:p w:rsidR="00FB4C2F" w:rsidRDefault="009B3F02">
      <w:pPr>
        <w:pStyle w:val="BodyText"/>
        <w:spacing w:line="212" w:lineRule="exact"/>
        <w:ind w:left="725"/>
      </w:pPr>
      <w:r>
        <w:t>Pengujian ini dilakukan untuk menentukan apakah penelitian ini lebih sesuai menggunakan model</w:t>
      </w:r>
    </w:p>
    <w:p w:rsidR="00FB4C2F" w:rsidRDefault="009B3F02">
      <w:pPr>
        <w:spacing w:line="364" w:lineRule="auto"/>
        <w:ind w:left="444" w:right="500"/>
        <w:rPr>
          <w:i/>
          <w:sz w:val="20"/>
        </w:rPr>
      </w:pPr>
      <w:r>
        <w:rPr>
          <w:sz w:val="20"/>
        </w:rPr>
        <w:t>“</w:t>
      </w:r>
      <w:r>
        <w:rPr>
          <w:i/>
          <w:sz w:val="20"/>
        </w:rPr>
        <w:t xml:space="preserve">common effect” </w:t>
      </w:r>
      <w:r>
        <w:rPr>
          <w:sz w:val="20"/>
        </w:rPr>
        <w:t>atau “</w:t>
      </w:r>
      <w:r>
        <w:rPr>
          <w:i/>
          <w:sz w:val="20"/>
        </w:rPr>
        <w:t xml:space="preserve">fixed effect”. </w:t>
      </w:r>
      <w:r>
        <w:rPr>
          <w:sz w:val="20"/>
        </w:rPr>
        <w:t xml:space="preserve">Hipotesis dari teknik pengujian model ini adalah sebagai berikut : H0: Model </w:t>
      </w:r>
      <w:r>
        <w:rPr>
          <w:i/>
          <w:sz w:val="20"/>
        </w:rPr>
        <w:t>Common Effect</w:t>
      </w:r>
    </w:p>
    <w:p w:rsidR="00FB4C2F" w:rsidRDefault="009B3F02">
      <w:pPr>
        <w:spacing w:before="2"/>
        <w:ind w:left="444"/>
        <w:rPr>
          <w:i/>
          <w:sz w:val="20"/>
        </w:rPr>
      </w:pPr>
      <w:r>
        <w:rPr>
          <w:sz w:val="20"/>
        </w:rPr>
        <w:t xml:space="preserve">H1: Model </w:t>
      </w:r>
      <w:r>
        <w:rPr>
          <w:i/>
          <w:sz w:val="20"/>
        </w:rPr>
        <w:t>Fixed Effect</w:t>
      </w:r>
    </w:p>
    <w:p w:rsidR="00FB4C2F" w:rsidRDefault="009B3F02">
      <w:pPr>
        <w:spacing w:before="111" w:line="242" w:lineRule="auto"/>
        <w:ind w:left="444" w:right="157" w:firstLine="280"/>
        <w:jc w:val="both"/>
        <w:rPr>
          <w:sz w:val="20"/>
        </w:rPr>
      </w:pPr>
      <w:r>
        <w:rPr>
          <w:sz w:val="20"/>
        </w:rPr>
        <w:t>Jika nilai prob (p-</w:t>
      </w:r>
      <w:r>
        <w:rPr>
          <w:i/>
          <w:sz w:val="20"/>
        </w:rPr>
        <w:t>value</w:t>
      </w:r>
      <w:r>
        <w:rPr>
          <w:sz w:val="20"/>
        </w:rPr>
        <w:t xml:space="preserve">) </w:t>
      </w:r>
      <w:r>
        <w:rPr>
          <w:i/>
          <w:sz w:val="20"/>
        </w:rPr>
        <w:t xml:space="preserve">cross section </w:t>
      </w:r>
      <w:r>
        <w:rPr>
          <w:sz w:val="20"/>
        </w:rPr>
        <w:t>F &lt; 0.05 maka H</w:t>
      </w:r>
      <w:r>
        <w:rPr>
          <w:sz w:val="20"/>
          <w:vertAlign w:val="subscript"/>
        </w:rPr>
        <w:t>O</w:t>
      </w:r>
      <w:r>
        <w:rPr>
          <w:sz w:val="20"/>
        </w:rPr>
        <w:t xml:space="preserve"> ditolak maka model “</w:t>
      </w:r>
      <w:r>
        <w:rPr>
          <w:i/>
          <w:sz w:val="20"/>
        </w:rPr>
        <w:t xml:space="preserve">fixed effect” </w:t>
      </w:r>
      <w:r>
        <w:rPr>
          <w:sz w:val="20"/>
        </w:rPr>
        <w:t>lebih cocok untuk penelitian ini. Jika nilai prob (p-</w:t>
      </w:r>
      <w:r>
        <w:rPr>
          <w:i/>
          <w:sz w:val="20"/>
        </w:rPr>
        <w:t>value</w:t>
      </w:r>
      <w:r>
        <w:rPr>
          <w:sz w:val="20"/>
        </w:rPr>
        <w:t xml:space="preserve">) </w:t>
      </w:r>
      <w:r>
        <w:rPr>
          <w:i/>
          <w:sz w:val="20"/>
        </w:rPr>
        <w:t xml:space="preserve">cross section </w:t>
      </w:r>
      <w:r>
        <w:rPr>
          <w:sz w:val="20"/>
        </w:rPr>
        <w:t>F &gt; 0.05 maka H</w:t>
      </w:r>
      <w:r>
        <w:rPr>
          <w:sz w:val="20"/>
          <w:vertAlign w:val="subscript"/>
        </w:rPr>
        <w:t>1</w:t>
      </w:r>
      <w:r>
        <w:rPr>
          <w:sz w:val="20"/>
        </w:rPr>
        <w:t xml:space="preserve"> diterima maka model “</w:t>
      </w:r>
      <w:r>
        <w:rPr>
          <w:i/>
          <w:sz w:val="20"/>
        </w:rPr>
        <w:t xml:space="preserve">common effect” </w:t>
      </w:r>
      <w:r>
        <w:rPr>
          <w:sz w:val="20"/>
        </w:rPr>
        <w:t>lebih sesuai untuk penelitian ini.</w:t>
      </w:r>
    </w:p>
    <w:p w:rsidR="00FB4C2F" w:rsidRDefault="00FB4C2F">
      <w:pPr>
        <w:pStyle w:val="BodyText"/>
        <w:spacing w:before="2"/>
        <w:ind w:left="0"/>
        <w:rPr>
          <w:sz w:val="17"/>
        </w:rPr>
      </w:pPr>
    </w:p>
    <w:p w:rsidR="00FB4C2F" w:rsidRDefault="00A65B6D">
      <w:pPr>
        <w:pStyle w:val="BodyText"/>
        <w:spacing w:before="1"/>
        <w:ind w:left="737"/>
        <w:rPr>
          <w:lang w:val="id-ID"/>
        </w:rPr>
      </w:pPr>
      <w:r>
        <w:t xml:space="preserve">Tabel </w:t>
      </w:r>
      <w:r>
        <w:rPr>
          <w:lang w:val="id-ID"/>
        </w:rPr>
        <w:t>2</w:t>
      </w:r>
      <w:r w:rsidR="009B3F02">
        <w:t xml:space="preserve"> Uji Chow</w:t>
      </w:r>
    </w:p>
    <w:p w:rsidR="00443587" w:rsidRPr="00443587" w:rsidRDefault="00443587" w:rsidP="00443587">
      <w:pPr>
        <w:widowControl/>
        <w:adjustRightInd w:val="0"/>
        <w:rPr>
          <w:rFonts w:ascii="Arial" w:eastAsiaTheme="minorHAnsi" w:hAnsi="Arial" w:cs="Arial"/>
          <w:sz w:val="18"/>
          <w:szCs w:val="18"/>
          <w:lang w:val="id-ID"/>
        </w:rPr>
      </w:pPr>
    </w:p>
    <w:tbl>
      <w:tblPr>
        <w:tblW w:w="0" w:type="auto"/>
        <w:tblInd w:w="1612" w:type="dxa"/>
        <w:tblLayout w:type="fixed"/>
        <w:tblCellMar>
          <w:left w:w="0" w:type="dxa"/>
          <w:right w:w="0" w:type="dxa"/>
        </w:tblCellMar>
        <w:tblLook w:val="0000"/>
      </w:tblPr>
      <w:tblGrid>
        <w:gridCol w:w="1621"/>
        <w:gridCol w:w="1103"/>
        <w:gridCol w:w="1207"/>
        <w:gridCol w:w="1208"/>
        <w:gridCol w:w="997"/>
        <w:gridCol w:w="60"/>
      </w:tblGrid>
      <w:tr w:rsidR="00443587" w:rsidRPr="00443587" w:rsidTr="00443587">
        <w:trPr>
          <w:trHeight w:val="225"/>
        </w:trPr>
        <w:tc>
          <w:tcPr>
            <w:tcW w:w="3931" w:type="dxa"/>
            <w:gridSpan w:val="3"/>
            <w:tcBorders>
              <w:top w:val="nil"/>
              <w:left w:val="nil"/>
              <w:bottom w:val="nil"/>
              <w:right w:val="nil"/>
            </w:tcBorders>
            <w:vAlign w:val="bottom"/>
          </w:tcPr>
          <w:p w:rsidR="00443587" w:rsidRPr="00443587" w:rsidRDefault="00443587" w:rsidP="00443587">
            <w:pPr>
              <w:widowControl/>
              <w:adjustRightInd w:val="0"/>
              <w:rPr>
                <w:rFonts w:eastAsiaTheme="minorHAnsi"/>
                <w:color w:val="000000"/>
                <w:sz w:val="20"/>
                <w:szCs w:val="20"/>
                <w:lang w:val="id-ID"/>
              </w:rPr>
            </w:pPr>
            <w:r w:rsidRPr="00443587">
              <w:rPr>
                <w:rFonts w:eastAsiaTheme="minorHAnsi"/>
                <w:color w:val="000000"/>
                <w:sz w:val="20"/>
                <w:szCs w:val="20"/>
                <w:lang w:val="id-ID"/>
              </w:rPr>
              <w:t>Redundant Fixed Effects Tests</w:t>
            </w:r>
          </w:p>
        </w:tc>
        <w:tc>
          <w:tcPr>
            <w:tcW w:w="1208"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60"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r>
      <w:tr w:rsidR="00443587" w:rsidRPr="00443587" w:rsidTr="00443587">
        <w:trPr>
          <w:trHeight w:val="225"/>
        </w:trPr>
        <w:tc>
          <w:tcPr>
            <w:tcW w:w="3931" w:type="dxa"/>
            <w:gridSpan w:val="3"/>
            <w:tcBorders>
              <w:top w:val="nil"/>
              <w:left w:val="nil"/>
              <w:bottom w:val="nil"/>
              <w:right w:val="nil"/>
            </w:tcBorders>
            <w:vAlign w:val="bottom"/>
          </w:tcPr>
          <w:p w:rsidR="00443587" w:rsidRPr="00443587" w:rsidRDefault="00443587" w:rsidP="00443587">
            <w:pPr>
              <w:widowControl/>
              <w:adjustRightInd w:val="0"/>
              <w:rPr>
                <w:rFonts w:eastAsiaTheme="minorHAnsi"/>
                <w:color w:val="000000"/>
                <w:sz w:val="20"/>
                <w:szCs w:val="20"/>
                <w:lang w:val="id-ID"/>
              </w:rPr>
            </w:pPr>
            <w:r w:rsidRPr="00443587">
              <w:rPr>
                <w:rFonts w:eastAsiaTheme="minorHAnsi"/>
                <w:color w:val="000000"/>
                <w:sz w:val="20"/>
                <w:szCs w:val="20"/>
                <w:lang w:val="id-ID"/>
              </w:rPr>
              <w:t>Equation: Untitled</w:t>
            </w:r>
          </w:p>
        </w:tc>
        <w:tc>
          <w:tcPr>
            <w:tcW w:w="1208"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60"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r>
      <w:tr w:rsidR="00443587" w:rsidRPr="00443587" w:rsidTr="00443587">
        <w:trPr>
          <w:trHeight w:val="225"/>
        </w:trPr>
        <w:tc>
          <w:tcPr>
            <w:tcW w:w="5139" w:type="dxa"/>
            <w:gridSpan w:val="4"/>
            <w:tcBorders>
              <w:top w:val="nil"/>
              <w:left w:val="nil"/>
              <w:bottom w:val="nil"/>
              <w:right w:val="nil"/>
            </w:tcBorders>
            <w:vAlign w:val="bottom"/>
          </w:tcPr>
          <w:p w:rsidR="00443587" w:rsidRPr="00443587" w:rsidRDefault="00443587" w:rsidP="00443587">
            <w:pPr>
              <w:widowControl/>
              <w:adjustRightInd w:val="0"/>
              <w:rPr>
                <w:rFonts w:eastAsiaTheme="minorHAnsi"/>
                <w:color w:val="000000"/>
                <w:sz w:val="20"/>
                <w:szCs w:val="20"/>
                <w:lang w:val="id-ID"/>
              </w:rPr>
            </w:pPr>
            <w:r w:rsidRPr="00443587">
              <w:rPr>
                <w:rFonts w:eastAsiaTheme="minorHAnsi"/>
                <w:color w:val="000000"/>
                <w:sz w:val="20"/>
                <w:szCs w:val="20"/>
                <w:lang w:val="id-ID"/>
              </w:rPr>
              <w:t>Test cross-section fixed effects</w:t>
            </w:r>
          </w:p>
        </w:tc>
        <w:tc>
          <w:tcPr>
            <w:tcW w:w="997"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60"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r>
      <w:tr w:rsidR="00443587" w:rsidRPr="00443587" w:rsidTr="00443587">
        <w:trPr>
          <w:trHeight w:hRule="exact" w:val="70"/>
        </w:trPr>
        <w:tc>
          <w:tcPr>
            <w:tcW w:w="1621" w:type="dxa"/>
            <w:tcBorders>
              <w:top w:val="nil"/>
              <w:left w:val="nil"/>
              <w:bottom w:val="double" w:sz="6" w:space="2"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997" w:type="dxa"/>
            <w:tcBorders>
              <w:top w:val="nil"/>
              <w:left w:val="nil"/>
              <w:bottom w:val="double" w:sz="6" w:space="2"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60"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r>
      <w:tr w:rsidR="00443587" w:rsidRPr="00443587" w:rsidTr="00443587">
        <w:trPr>
          <w:trHeight w:hRule="exact" w:val="135"/>
        </w:trPr>
        <w:tc>
          <w:tcPr>
            <w:tcW w:w="1621"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60"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r>
      <w:tr w:rsidR="00443587" w:rsidRPr="00443587" w:rsidTr="00443587">
        <w:trPr>
          <w:trHeight w:val="70"/>
        </w:trPr>
        <w:tc>
          <w:tcPr>
            <w:tcW w:w="2724" w:type="dxa"/>
            <w:gridSpan w:val="2"/>
            <w:tcBorders>
              <w:top w:val="nil"/>
              <w:left w:val="nil"/>
              <w:bottom w:val="nil"/>
              <w:right w:val="nil"/>
            </w:tcBorders>
            <w:vAlign w:val="bottom"/>
          </w:tcPr>
          <w:p w:rsidR="00443587" w:rsidRPr="00443587" w:rsidRDefault="00443587" w:rsidP="00443587">
            <w:pPr>
              <w:widowControl/>
              <w:adjustRightInd w:val="0"/>
              <w:rPr>
                <w:rFonts w:eastAsiaTheme="minorHAnsi"/>
                <w:color w:val="000000"/>
                <w:sz w:val="20"/>
                <w:szCs w:val="20"/>
                <w:lang w:val="id-ID"/>
              </w:rPr>
            </w:pPr>
            <w:r w:rsidRPr="00443587">
              <w:rPr>
                <w:rFonts w:eastAsiaTheme="minorHAnsi"/>
                <w:color w:val="000000"/>
                <w:sz w:val="20"/>
                <w:szCs w:val="20"/>
                <w:lang w:val="id-ID"/>
              </w:rPr>
              <w:t>Effects Test</w:t>
            </w:r>
          </w:p>
        </w:tc>
        <w:tc>
          <w:tcPr>
            <w:tcW w:w="1207" w:type="dxa"/>
            <w:tcBorders>
              <w:top w:val="nil"/>
              <w:left w:val="nil"/>
              <w:bottom w:val="nil"/>
              <w:right w:val="nil"/>
            </w:tcBorders>
            <w:vAlign w:val="bottom"/>
          </w:tcPr>
          <w:p w:rsidR="00443587" w:rsidRPr="00443587" w:rsidRDefault="00443587" w:rsidP="00443587">
            <w:pPr>
              <w:widowControl/>
              <w:adjustRightInd w:val="0"/>
              <w:ind w:right="10"/>
              <w:jc w:val="right"/>
              <w:rPr>
                <w:rFonts w:eastAsiaTheme="minorHAnsi"/>
                <w:color w:val="000000"/>
                <w:sz w:val="20"/>
                <w:szCs w:val="20"/>
                <w:lang w:val="id-ID"/>
              </w:rPr>
            </w:pPr>
            <w:r w:rsidRPr="00443587">
              <w:rPr>
                <w:rFonts w:eastAsiaTheme="minorHAnsi"/>
                <w:color w:val="000000"/>
                <w:sz w:val="20"/>
                <w:szCs w:val="20"/>
                <w:lang w:val="id-ID"/>
              </w:rPr>
              <w:t>Statistic  </w:t>
            </w:r>
          </w:p>
        </w:tc>
        <w:tc>
          <w:tcPr>
            <w:tcW w:w="1208" w:type="dxa"/>
            <w:tcBorders>
              <w:top w:val="nil"/>
              <w:left w:val="nil"/>
              <w:bottom w:val="nil"/>
              <w:right w:val="nil"/>
            </w:tcBorders>
            <w:vAlign w:val="bottom"/>
          </w:tcPr>
          <w:p w:rsidR="00443587" w:rsidRPr="00443587" w:rsidRDefault="00443587" w:rsidP="00443587">
            <w:pPr>
              <w:widowControl/>
              <w:adjustRightInd w:val="0"/>
              <w:ind w:right="10"/>
              <w:jc w:val="right"/>
              <w:rPr>
                <w:rFonts w:eastAsiaTheme="minorHAnsi"/>
                <w:color w:val="000000"/>
                <w:sz w:val="20"/>
                <w:szCs w:val="20"/>
                <w:lang w:val="id-ID"/>
              </w:rPr>
            </w:pPr>
            <w:r w:rsidRPr="00443587">
              <w:rPr>
                <w:rFonts w:eastAsiaTheme="minorHAnsi"/>
                <w:color w:val="000000"/>
                <w:sz w:val="20"/>
                <w:szCs w:val="20"/>
                <w:lang w:val="id-ID"/>
              </w:rPr>
              <w:t>d.f. </w:t>
            </w:r>
          </w:p>
        </w:tc>
        <w:tc>
          <w:tcPr>
            <w:tcW w:w="997" w:type="dxa"/>
            <w:tcBorders>
              <w:top w:val="nil"/>
              <w:left w:val="nil"/>
              <w:bottom w:val="nil"/>
              <w:right w:val="nil"/>
            </w:tcBorders>
            <w:vAlign w:val="bottom"/>
          </w:tcPr>
          <w:p w:rsidR="00443587" w:rsidRPr="00443587" w:rsidRDefault="00443587" w:rsidP="00443587">
            <w:pPr>
              <w:widowControl/>
              <w:adjustRightInd w:val="0"/>
              <w:ind w:right="10"/>
              <w:jc w:val="right"/>
              <w:rPr>
                <w:rFonts w:eastAsiaTheme="minorHAnsi"/>
                <w:color w:val="000000"/>
                <w:sz w:val="20"/>
                <w:szCs w:val="20"/>
                <w:lang w:val="id-ID"/>
              </w:rPr>
            </w:pPr>
            <w:r w:rsidRPr="00443587">
              <w:rPr>
                <w:rFonts w:eastAsiaTheme="minorHAnsi"/>
                <w:color w:val="000000"/>
                <w:sz w:val="20"/>
                <w:szCs w:val="20"/>
                <w:lang w:val="id-ID"/>
              </w:rPr>
              <w:t>Prob. </w:t>
            </w:r>
          </w:p>
        </w:tc>
        <w:tc>
          <w:tcPr>
            <w:tcW w:w="60" w:type="dxa"/>
            <w:tcBorders>
              <w:top w:val="nil"/>
              <w:left w:val="nil"/>
              <w:bottom w:val="nil"/>
              <w:right w:val="nil"/>
            </w:tcBorders>
            <w:vAlign w:val="bottom"/>
          </w:tcPr>
          <w:p w:rsidR="00443587" w:rsidRPr="00443587" w:rsidRDefault="00443587" w:rsidP="00443587">
            <w:pPr>
              <w:widowControl/>
              <w:adjustRightInd w:val="0"/>
              <w:ind w:right="10"/>
              <w:jc w:val="center"/>
              <w:rPr>
                <w:rFonts w:eastAsiaTheme="minorHAnsi"/>
                <w:color w:val="000000"/>
                <w:sz w:val="20"/>
                <w:szCs w:val="20"/>
                <w:lang w:val="id-ID"/>
              </w:rPr>
            </w:pPr>
          </w:p>
        </w:tc>
      </w:tr>
      <w:tr w:rsidR="00443587" w:rsidRPr="00443587" w:rsidTr="00443587">
        <w:trPr>
          <w:trHeight w:hRule="exact" w:val="70"/>
        </w:trPr>
        <w:tc>
          <w:tcPr>
            <w:tcW w:w="1621" w:type="dxa"/>
            <w:tcBorders>
              <w:top w:val="nil"/>
              <w:left w:val="nil"/>
              <w:bottom w:val="double" w:sz="6" w:space="2"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997" w:type="dxa"/>
            <w:tcBorders>
              <w:top w:val="nil"/>
              <w:left w:val="nil"/>
              <w:bottom w:val="double" w:sz="6" w:space="2"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60"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r>
      <w:tr w:rsidR="00443587" w:rsidRPr="00443587" w:rsidTr="00443587">
        <w:trPr>
          <w:trHeight w:hRule="exact" w:val="135"/>
        </w:trPr>
        <w:tc>
          <w:tcPr>
            <w:tcW w:w="1621"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60"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r>
      <w:tr w:rsidR="00443587" w:rsidRPr="00443587" w:rsidTr="00443587">
        <w:trPr>
          <w:trHeight w:val="225"/>
        </w:trPr>
        <w:tc>
          <w:tcPr>
            <w:tcW w:w="2724" w:type="dxa"/>
            <w:gridSpan w:val="2"/>
            <w:tcBorders>
              <w:top w:val="nil"/>
              <w:left w:val="nil"/>
              <w:bottom w:val="nil"/>
              <w:right w:val="nil"/>
            </w:tcBorders>
            <w:vAlign w:val="bottom"/>
          </w:tcPr>
          <w:p w:rsidR="00443587" w:rsidRPr="00443587" w:rsidRDefault="00443587" w:rsidP="00443587">
            <w:pPr>
              <w:widowControl/>
              <w:adjustRightInd w:val="0"/>
              <w:rPr>
                <w:rFonts w:eastAsiaTheme="minorHAnsi"/>
                <w:color w:val="000000"/>
                <w:sz w:val="20"/>
                <w:szCs w:val="20"/>
                <w:lang w:val="id-ID"/>
              </w:rPr>
            </w:pPr>
            <w:r w:rsidRPr="00443587">
              <w:rPr>
                <w:rFonts w:eastAsiaTheme="minorHAnsi"/>
                <w:color w:val="000000"/>
                <w:sz w:val="20"/>
                <w:szCs w:val="20"/>
                <w:lang w:val="id-ID"/>
              </w:rPr>
              <w:t>Cross-section F</w:t>
            </w:r>
          </w:p>
        </w:tc>
        <w:tc>
          <w:tcPr>
            <w:tcW w:w="1207" w:type="dxa"/>
            <w:tcBorders>
              <w:top w:val="nil"/>
              <w:left w:val="nil"/>
              <w:bottom w:val="nil"/>
              <w:right w:val="nil"/>
            </w:tcBorders>
            <w:vAlign w:val="bottom"/>
          </w:tcPr>
          <w:p w:rsidR="00443587" w:rsidRPr="00443587" w:rsidRDefault="00443587" w:rsidP="00443587">
            <w:pPr>
              <w:widowControl/>
              <w:adjustRightInd w:val="0"/>
              <w:ind w:right="10"/>
              <w:jc w:val="right"/>
              <w:rPr>
                <w:rFonts w:eastAsiaTheme="minorHAnsi"/>
                <w:color w:val="000000"/>
                <w:sz w:val="20"/>
                <w:szCs w:val="20"/>
                <w:lang w:val="id-ID"/>
              </w:rPr>
            </w:pPr>
            <w:r w:rsidRPr="00443587">
              <w:rPr>
                <w:rFonts w:eastAsiaTheme="minorHAnsi"/>
                <w:color w:val="000000"/>
                <w:sz w:val="20"/>
                <w:szCs w:val="20"/>
                <w:lang w:val="id-ID"/>
              </w:rPr>
              <w:t>14.315194</w:t>
            </w:r>
          </w:p>
        </w:tc>
        <w:tc>
          <w:tcPr>
            <w:tcW w:w="1208" w:type="dxa"/>
            <w:tcBorders>
              <w:top w:val="nil"/>
              <w:left w:val="nil"/>
              <w:bottom w:val="nil"/>
              <w:right w:val="nil"/>
            </w:tcBorders>
            <w:vAlign w:val="bottom"/>
          </w:tcPr>
          <w:p w:rsidR="00443587" w:rsidRPr="00443587" w:rsidRDefault="00443587" w:rsidP="00443587">
            <w:pPr>
              <w:widowControl/>
              <w:adjustRightInd w:val="0"/>
              <w:ind w:right="10"/>
              <w:jc w:val="right"/>
              <w:rPr>
                <w:rFonts w:eastAsiaTheme="minorHAnsi"/>
                <w:color w:val="000000"/>
                <w:sz w:val="20"/>
                <w:szCs w:val="20"/>
                <w:lang w:val="id-ID"/>
              </w:rPr>
            </w:pPr>
            <w:r w:rsidRPr="00443587">
              <w:rPr>
                <w:rFonts w:eastAsiaTheme="minorHAnsi"/>
                <w:color w:val="000000"/>
                <w:sz w:val="20"/>
                <w:szCs w:val="20"/>
                <w:lang w:val="id-ID"/>
              </w:rPr>
              <w:t>(15,62)</w:t>
            </w:r>
          </w:p>
        </w:tc>
        <w:tc>
          <w:tcPr>
            <w:tcW w:w="997" w:type="dxa"/>
            <w:tcBorders>
              <w:top w:val="nil"/>
              <w:left w:val="nil"/>
              <w:bottom w:val="nil"/>
              <w:right w:val="nil"/>
            </w:tcBorders>
            <w:vAlign w:val="bottom"/>
          </w:tcPr>
          <w:p w:rsidR="00443587" w:rsidRPr="00443587" w:rsidRDefault="00443587" w:rsidP="00443587">
            <w:pPr>
              <w:widowControl/>
              <w:adjustRightInd w:val="0"/>
              <w:ind w:right="10"/>
              <w:jc w:val="right"/>
              <w:rPr>
                <w:rFonts w:eastAsiaTheme="minorHAnsi"/>
                <w:color w:val="000000"/>
                <w:sz w:val="20"/>
                <w:szCs w:val="20"/>
                <w:lang w:val="id-ID"/>
              </w:rPr>
            </w:pPr>
            <w:r w:rsidRPr="00443587">
              <w:rPr>
                <w:rFonts w:eastAsiaTheme="minorHAnsi"/>
                <w:color w:val="000000"/>
                <w:sz w:val="20"/>
                <w:szCs w:val="20"/>
                <w:lang w:val="id-ID"/>
              </w:rPr>
              <w:t>0.0000</w:t>
            </w:r>
          </w:p>
        </w:tc>
        <w:tc>
          <w:tcPr>
            <w:tcW w:w="60" w:type="dxa"/>
            <w:tcBorders>
              <w:top w:val="nil"/>
              <w:left w:val="nil"/>
              <w:bottom w:val="nil"/>
              <w:right w:val="nil"/>
            </w:tcBorders>
            <w:vAlign w:val="bottom"/>
          </w:tcPr>
          <w:p w:rsidR="00443587" w:rsidRPr="00443587" w:rsidRDefault="00443587" w:rsidP="00443587">
            <w:pPr>
              <w:widowControl/>
              <w:adjustRightInd w:val="0"/>
              <w:ind w:right="10"/>
              <w:jc w:val="center"/>
              <w:rPr>
                <w:rFonts w:eastAsiaTheme="minorHAnsi"/>
                <w:color w:val="000000"/>
                <w:sz w:val="20"/>
                <w:szCs w:val="20"/>
                <w:lang w:val="id-ID"/>
              </w:rPr>
            </w:pPr>
          </w:p>
        </w:tc>
      </w:tr>
      <w:tr w:rsidR="00443587" w:rsidRPr="00443587" w:rsidTr="00443587">
        <w:trPr>
          <w:trHeight w:val="70"/>
        </w:trPr>
        <w:tc>
          <w:tcPr>
            <w:tcW w:w="2724" w:type="dxa"/>
            <w:gridSpan w:val="2"/>
            <w:tcBorders>
              <w:top w:val="nil"/>
              <w:left w:val="nil"/>
              <w:bottom w:val="nil"/>
              <w:right w:val="nil"/>
            </w:tcBorders>
            <w:vAlign w:val="bottom"/>
          </w:tcPr>
          <w:p w:rsidR="00443587" w:rsidRPr="00443587" w:rsidRDefault="00443587" w:rsidP="00443587">
            <w:pPr>
              <w:widowControl/>
              <w:adjustRightInd w:val="0"/>
              <w:rPr>
                <w:rFonts w:eastAsiaTheme="minorHAnsi"/>
                <w:color w:val="000000"/>
                <w:sz w:val="20"/>
                <w:szCs w:val="20"/>
                <w:lang w:val="id-ID"/>
              </w:rPr>
            </w:pPr>
            <w:r w:rsidRPr="00443587">
              <w:rPr>
                <w:rFonts w:eastAsiaTheme="minorHAnsi"/>
                <w:color w:val="000000"/>
                <w:sz w:val="20"/>
                <w:szCs w:val="20"/>
                <w:lang w:val="id-ID"/>
              </w:rPr>
              <w:t>Cross-section Chi-square</w:t>
            </w:r>
          </w:p>
        </w:tc>
        <w:tc>
          <w:tcPr>
            <w:tcW w:w="1207" w:type="dxa"/>
            <w:tcBorders>
              <w:top w:val="nil"/>
              <w:left w:val="nil"/>
              <w:bottom w:val="nil"/>
              <w:right w:val="nil"/>
            </w:tcBorders>
            <w:vAlign w:val="bottom"/>
          </w:tcPr>
          <w:p w:rsidR="00443587" w:rsidRPr="00443587" w:rsidRDefault="00443587" w:rsidP="00443587">
            <w:pPr>
              <w:widowControl/>
              <w:adjustRightInd w:val="0"/>
              <w:ind w:right="10"/>
              <w:jc w:val="right"/>
              <w:rPr>
                <w:rFonts w:eastAsiaTheme="minorHAnsi"/>
                <w:color w:val="000000"/>
                <w:sz w:val="20"/>
                <w:szCs w:val="20"/>
                <w:lang w:val="id-ID"/>
              </w:rPr>
            </w:pPr>
            <w:r w:rsidRPr="00443587">
              <w:rPr>
                <w:rFonts w:eastAsiaTheme="minorHAnsi"/>
                <w:color w:val="000000"/>
                <w:sz w:val="20"/>
                <w:szCs w:val="20"/>
                <w:lang w:val="id-ID"/>
              </w:rPr>
              <w:t>119.672027</w:t>
            </w:r>
          </w:p>
        </w:tc>
        <w:tc>
          <w:tcPr>
            <w:tcW w:w="1208" w:type="dxa"/>
            <w:tcBorders>
              <w:top w:val="nil"/>
              <w:left w:val="nil"/>
              <w:bottom w:val="nil"/>
              <w:right w:val="nil"/>
            </w:tcBorders>
            <w:vAlign w:val="bottom"/>
          </w:tcPr>
          <w:p w:rsidR="00443587" w:rsidRPr="00443587" w:rsidRDefault="00443587" w:rsidP="00443587">
            <w:pPr>
              <w:widowControl/>
              <w:adjustRightInd w:val="0"/>
              <w:ind w:right="10"/>
              <w:jc w:val="right"/>
              <w:rPr>
                <w:rFonts w:eastAsiaTheme="minorHAnsi"/>
                <w:color w:val="000000"/>
                <w:sz w:val="20"/>
                <w:szCs w:val="20"/>
                <w:lang w:val="id-ID"/>
              </w:rPr>
            </w:pPr>
            <w:r w:rsidRPr="00443587">
              <w:rPr>
                <w:rFonts w:eastAsiaTheme="minorHAnsi"/>
                <w:color w:val="000000"/>
                <w:sz w:val="20"/>
                <w:szCs w:val="20"/>
                <w:lang w:val="id-ID"/>
              </w:rPr>
              <w:t>15</w:t>
            </w:r>
          </w:p>
        </w:tc>
        <w:tc>
          <w:tcPr>
            <w:tcW w:w="997" w:type="dxa"/>
            <w:tcBorders>
              <w:top w:val="nil"/>
              <w:left w:val="nil"/>
              <w:bottom w:val="nil"/>
              <w:right w:val="nil"/>
            </w:tcBorders>
            <w:vAlign w:val="bottom"/>
          </w:tcPr>
          <w:p w:rsidR="00443587" w:rsidRPr="00443587" w:rsidRDefault="00443587" w:rsidP="00443587">
            <w:pPr>
              <w:widowControl/>
              <w:adjustRightInd w:val="0"/>
              <w:ind w:right="10"/>
              <w:jc w:val="right"/>
              <w:rPr>
                <w:rFonts w:eastAsiaTheme="minorHAnsi"/>
                <w:color w:val="000000"/>
                <w:sz w:val="20"/>
                <w:szCs w:val="20"/>
                <w:lang w:val="id-ID"/>
              </w:rPr>
            </w:pPr>
            <w:r w:rsidRPr="00443587">
              <w:rPr>
                <w:rFonts w:eastAsiaTheme="minorHAnsi"/>
                <w:color w:val="000000"/>
                <w:sz w:val="20"/>
                <w:szCs w:val="20"/>
                <w:lang w:val="id-ID"/>
              </w:rPr>
              <w:t>0.0000</w:t>
            </w:r>
          </w:p>
        </w:tc>
        <w:tc>
          <w:tcPr>
            <w:tcW w:w="60" w:type="dxa"/>
            <w:tcBorders>
              <w:top w:val="nil"/>
              <w:left w:val="nil"/>
              <w:bottom w:val="nil"/>
              <w:right w:val="nil"/>
            </w:tcBorders>
            <w:vAlign w:val="bottom"/>
          </w:tcPr>
          <w:p w:rsidR="00443587" w:rsidRPr="00443587" w:rsidRDefault="00443587" w:rsidP="00443587">
            <w:pPr>
              <w:widowControl/>
              <w:adjustRightInd w:val="0"/>
              <w:ind w:right="10"/>
              <w:jc w:val="center"/>
              <w:rPr>
                <w:rFonts w:eastAsiaTheme="minorHAnsi"/>
                <w:color w:val="000000"/>
                <w:sz w:val="20"/>
                <w:szCs w:val="20"/>
                <w:lang w:val="id-ID"/>
              </w:rPr>
            </w:pPr>
          </w:p>
        </w:tc>
      </w:tr>
      <w:tr w:rsidR="00443587" w:rsidRPr="00443587" w:rsidTr="00443587">
        <w:trPr>
          <w:trHeight w:hRule="exact" w:val="70"/>
        </w:trPr>
        <w:tc>
          <w:tcPr>
            <w:tcW w:w="1621" w:type="dxa"/>
            <w:tcBorders>
              <w:top w:val="nil"/>
              <w:left w:val="nil"/>
              <w:bottom w:val="double" w:sz="6" w:space="0"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103" w:type="dxa"/>
            <w:tcBorders>
              <w:top w:val="nil"/>
              <w:left w:val="nil"/>
              <w:bottom w:val="double" w:sz="6" w:space="0"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7" w:type="dxa"/>
            <w:tcBorders>
              <w:top w:val="nil"/>
              <w:left w:val="nil"/>
              <w:bottom w:val="double" w:sz="6" w:space="0"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8" w:type="dxa"/>
            <w:tcBorders>
              <w:top w:val="nil"/>
              <w:left w:val="nil"/>
              <w:bottom w:val="double" w:sz="6" w:space="0"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997" w:type="dxa"/>
            <w:tcBorders>
              <w:top w:val="nil"/>
              <w:left w:val="nil"/>
              <w:bottom w:val="double" w:sz="6" w:space="0" w:color="auto"/>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60"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r>
      <w:tr w:rsidR="00443587" w:rsidRPr="00443587" w:rsidTr="00443587">
        <w:trPr>
          <w:trHeight w:hRule="exact" w:val="135"/>
        </w:trPr>
        <w:tc>
          <w:tcPr>
            <w:tcW w:w="1621"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c>
          <w:tcPr>
            <w:tcW w:w="60" w:type="dxa"/>
            <w:tcBorders>
              <w:top w:val="nil"/>
              <w:left w:val="nil"/>
              <w:bottom w:val="nil"/>
              <w:right w:val="nil"/>
            </w:tcBorders>
            <w:vAlign w:val="bottom"/>
          </w:tcPr>
          <w:p w:rsidR="00443587" w:rsidRPr="00443587" w:rsidRDefault="00443587" w:rsidP="00443587">
            <w:pPr>
              <w:widowControl/>
              <w:adjustRightInd w:val="0"/>
              <w:jc w:val="center"/>
              <w:rPr>
                <w:rFonts w:eastAsiaTheme="minorHAnsi"/>
                <w:color w:val="000000"/>
                <w:sz w:val="20"/>
                <w:szCs w:val="20"/>
                <w:lang w:val="id-ID"/>
              </w:rPr>
            </w:pPr>
          </w:p>
        </w:tc>
      </w:tr>
    </w:tbl>
    <w:p w:rsidR="00FB4C2F" w:rsidRPr="00443587" w:rsidRDefault="00FB4C2F">
      <w:pPr>
        <w:pStyle w:val="BodyText"/>
        <w:spacing w:before="6"/>
        <w:ind w:left="0"/>
        <w:rPr>
          <w:rFonts w:ascii="Arial"/>
          <w:sz w:val="18"/>
          <w:lang w:val="id-ID"/>
        </w:rPr>
      </w:pPr>
    </w:p>
    <w:p w:rsidR="00FB4C2F" w:rsidRDefault="009B3F02">
      <w:pPr>
        <w:pStyle w:val="BodyText"/>
        <w:spacing w:line="230" w:lineRule="auto"/>
        <w:ind w:right="151" w:firstLine="280"/>
        <w:jc w:val="both"/>
      </w:pPr>
      <w:r>
        <w:t xml:space="preserve">Berdasarkan hasil Uji </w:t>
      </w:r>
      <w:r>
        <w:rPr>
          <w:i/>
        </w:rPr>
        <w:t xml:space="preserve">Chow </w:t>
      </w:r>
      <w:r>
        <w:t xml:space="preserve">tersebut, dihasilkan nilai </w:t>
      </w:r>
      <w:r>
        <w:rPr>
          <w:i/>
        </w:rPr>
        <w:t xml:space="preserve">prob.(Chi-square) </w:t>
      </w:r>
      <w:r>
        <w:t xml:space="preserve">sebesar 0.0000. Nilai </w:t>
      </w:r>
      <w:r>
        <w:rPr>
          <w:i/>
        </w:rPr>
        <w:t xml:space="preserve">prob.(Chi- square) </w:t>
      </w:r>
      <w:r>
        <w:t>tersebut (0.0000) lebih kecil dari taraf signifikansi 5% (α = 0.05). Maka sesuai dengan ketentuan pengambilan keputusan bahwa H</w:t>
      </w:r>
      <w:r>
        <w:rPr>
          <w:vertAlign w:val="subscript"/>
        </w:rPr>
        <w:t>0</w:t>
      </w:r>
      <w:r>
        <w:t xml:space="preserve"> ditolak sehingga penelitian ini tidak menggunakan model </w:t>
      </w:r>
      <w:r>
        <w:rPr>
          <w:i/>
        </w:rPr>
        <w:t xml:space="preserve">common effect </w:t>
      </w:r>
      <w:r>
        <w:t xml:space="preserve">tetapi metode estimasi yang paling tepat digunakan pada penelitian ini adalah </w:t>
      </w:r>
      <w:r>
        <w:rPr>
          <w:i/>
        </w:rPr>
        <w:t>Fixed Effect Model</w:t>
      </w:r>
      <w:r>
        <w:t>.</w:t>
      </w:r>
    </w:p>
    <w:p w:rsidR="00FB4C2F" w:rsidRDefault="00FB4C2F">
      <w:pPr>
        <w:pStyle w:val="BodyText"/>
        <w:spacing w:before="8"/>
        <w:ind w:left="0"/>
        <w:rPr>
          <w:sz w:val="17"/>
        </w:rPr>
      </w:pPr>
    </w:p>
    <w:p w:rsidR="00FB4C2F" w:rsidRDefault="009B3F02">
      <w:pPr>
        <w:pStyle w:val="Heading2"/>
      </w:pPr>
      <w:r>
        <w:t>Uji Hausman</w:t>
      </w:r>
    </w:p>
    <w:p w:rsidR="00FB4C2F" w:rsidRDefault="009B3F02">
      <w:pPr>
        <w:pStyle w:val="BodyText"/>
        <w:spacing w:before="181"/>
        <w:ind w:right="157" w:firstLine="280"/>
        <w:jc w:val="both"/>
      </w:pPr>
      <w:r>
        <w:t xml:space="preserve">Setelah melakukan pengujian dengan Uji </w:t>
      </w:r>
      <w:r>
        <w:rPr>
          <w:i/>
        </w:rPr>
        <w:t xml:space="preserve">Chow </w:t>
      </w:r>
      <w:r>
        <w:t>dan dengan hasil pengujian yang menerima H</w:t>
      </w:r>
      <w:r>
        <w:rPr>
          <w:vertAlign w:val="subscript"/>
        </w:rPr>
        <w:t>1</w:t>
      </w:r>
      <w:r>
        <w:t xml:space="preserve">, maka dilanjutkan dengan melakukan uji Hausman untuk menguji antara model </w:t>
      </w:r>
      <w:r>
        <w:rPr>
          <w:i/>
        </w:rPr>
        <w:t xml:space="preserve">fixed effect </w:t>
      </w:r>
      <w:r>
        <w:t xml:space="preserve">dan model  </w:t>
      </w:r>
      <w:r>
        <w:rPr>
          <w:i/>
        </w:rPr>
        <w:t xml:space="preserve">random  effect </w:t>
      </w:r>
      <w:r>
        <w:t>sebagai model yang akan digunakan untuk penelitian ini. Ketentuan hipotesis dan pengambilan keputusan</w:t>
      </w:r>
      <w:r>
        <w:rPr>
          <w:spacing w:val="-12"/>
        </w:rPr>
        <w:t xml:space="preserve"> </w:t>
      </w:r>
      <w:r>
        <w:t>dari</w:t>
      </w:r>
      <w:r>
        <w:rPr>
          <w:spacing w:val="-3"/>
        </w:rPr>
        <w:t xml:space="preserve"> </w:t>
      </w:r>
      <w:r>
        <w:t>uji</w:t>
      </w:r>
      <w:r>
        <w:rPr>
          <w:spacing w:val="-3"/>
        </w:rPr>
        <w:t xml:space="preserve"> </w:t>
      </w:r>
      <w:r>
        <w:t>Hausman</w:t>
      </w:r>
      <w:r>
        <w:rPr>
          <w:spacing w:val="-8"/>
        </w:rPr>
        <w:t xml:space="preserve"> </w:t>
      </w:r>
      <w:r>
        <w:t>adalah</w:t>
      </w:r>
      <w:r>
        <w:rPr>
          <w:spacing w:val="-6"/>
        </w:rPr>
        <w:t xml:space="preserve"> </w:t>
      </w:r>
      <w:r>
        <w:t>sebagai</w:t>
      </w:r>
      <w:r>
        <w:rPr>
          <w:spacing w:val="-5"/>
        </w:rPr>
        <w:t xml:space="preserve"> </w:t>
      </w:r>
      <w:r>
        <w:t>berikut</w:t>
      </w:r>
      <w:r>
        <w:rPr>
          <w:spacing w:val="-5"/>
        </w:rPr>
        <w:t xml:space="preserve"> </w:t>
      </w:r>
      <w:r>
        <w:t>:</w:t>
      </w:r>
    </w:p>
    <w:p w:rsidR="00FB4C2F" w:rsidRDefault="009B3F02">
      <w:pPr>
        <w:spacing w:before="184"/>
        <w:ind w:left="725"/>
        <w:rPr>
          <w:i/>
          <w:sz w:val="20"/>
        </w:rPr>
      </w:pPr>
      <w:r>
        <w:rPr>
          <w:sz w:val="20"/>
        </w:rPr>
        <w:t>H</w:t>
      </w:r>
      <w:r>
        <w:rPr>
          <w:sz w:val="20"/>
          <w:vertAlign w:val="subscript"/>
        </w:rPr>
        <w:t>0</w:t>
      </w:r>
      <w:r>
        <w:rPr>
          <w:sz w:val="20"/>
        </w:rPr>
        <w:t xml:space="preserve"> : Model </w:t>
      </w:r>
      <w:r>
        <w:rPr>
          <w:i/>
          <w:sz w:val="20"/>
        </w:rPr>
        <w:t>Random Effect</w:t>
      </w:r>
    </w:p>
    <w:p w:rsidR="00FB4C2F" w:rsidRDefault="009B3F02">
      <w:pPr>
        <w:spacing w:before="1"/>
        <w:ind w:left="725"/>
        <w:rPr>
          <w:i/>
          <w:sz w:val="20"/>
        </w:rPr>
      </w:pPr>
      <w:r>
        <w:rPr>
          <w:sz w:val="20"/>
        </w:rPr>
        <w:t>H</w:t>
      </w:r>
      <w:r>
        <w:rPr>
          <w:sz w:val="20"/>
          <w:vertAlign w:val="subscript"/>
        </w:rPr>
        <w:t>1</w:t>
      </w:r>
      <w:r>
        <w:rPr>
          <w:sz w:val="20"/>
        </w:rPr>
        <w:t xml:space="preserve"> : Model </w:t>
      </w:r>
      <w:r>
        <w:rPr>
          <w:i/>
          <w:sz w:val="20"/>
        </w:rPr>
        <w:t>Fixed Effect</w:t>
      </w:r>
    </w:p>
    <w:p w:rsidR="00FB4C2F" w:rsidRDefault="009B3F02">
      <w:pPr>
        <w:spacing w:before="178" w:line="242" w:lineRule="auto"/>
        <w:ind w:left="444" w:right="155" w:firstLine="280"/>
        <w:jc w:val="both"/>
        <w:rPr>
          <w:sz w:val="20"/>
        </w:rPr>
      </w:pPr>
      <w:r>
        <w:rPr>
          <w:sz w:val="20"/>
        </w:rPr>
        <w:t>Jika probabilitas “</w:t>
      </w:r>
      <w:r>
        <w:rPr>
          <w:i/>
          <w:sz w:val="20"/>
        </w:rPr>
        <w:t>cross section random</w:t>
      </w:r>
      <w:r>
        <w:rPr>
          <w:sz w:val="20"/>
        </w:rPr>
        <w:t>” ≤ 0,05 H</w:t>
      </w:r>
      <w:r>
        <w:rPr>
          <w:sz w:val="20"/>
          <w:vertAlign w:val="subscript"/>
        </w:rPr>
        <w:t>0</w:t>
      </w:r>
      <w:r>
        <w:rPr>
          <w:sz w:val="20"/>
        </w:rPr>
        <w:t xml:space="preserve"> ditolak maka penelitian ini lebih sesuai menggunakan model “</w:t>
      </w:r>
      <w:r>
        <w:rPr>
          <w:i/>
          <w:sz w:val="20"/>
        </w:rPr>
        <w:t>fixed effect</w:t>
      </w:r>
      <w:r>
        <w:rPr>
          <w:sz w:val="20"/>
        </w:rPr>
        <w:t>”. Jika probabilitas “</w:t>
      </w:r>
      <w:r>
        <w:rPr>
          <w:i/>
          <w:sz w:val="20"/>
        </w:rPr>
        <w:t>cross section random</w:t>
      </w:r>
      <w:r>
        <w:rPr>
          <w:sz w:val="20"/>
        </w:rPr>
        <w:t>” &gt; 0,05 H</w:t>
      </w:r>
      <w:r>
        <w:rPr>
          <w:sz w:val="20"/>
          <w:vertAlign w:val="subscript"/>
        </w:rPr>
        <w:t>0</w:t>
      </w:r>
      <w:r>
        <w:rPr>
          <w:sz w:val="20"/>
        </w:rPr>
        <w:t xml:space="preserve"> diterima maka penelitian ini lebih sesuai menggunakan model “</w:t>
      </w:r>
      <w:r>
        <w:rPr>
          <w:i/>
          <w:sz w:val="20"/>
        </w:rPr>
        <w:t>random effect</w:t>
      </w:r>
      <w:r>
        <w:rPr>
          <w:sz w:val="20"/>
        </w:rPr>
        <w:t>”</w:t>
      </w:r>
    </w:p>
    <w:p w:rsidR="00A85B64" w:rsidRDefault="00A85B64" w:rsidP="00A85B64">
      <w:pPr>
        <w:pStyle w:val="BodyText"/>
        <w:spacing w:before="183"/>
        <w:rPr>
          <w:lang w:val="id-ID"/>
        </w:rPr>
      </w:pPr>
    </w:p>
    <w:p w:rsidR="00A85B64" w:rsidRDefault="00A85B64" w:rsidP="00A85B64">
      <w:pPr>
        <w:pStyle w:val="BodyText"/>
        <w:spacing w:before="183"/>
        <w:rPr>
          <w:lang w:val="id-ID"/>
        </w:rPr>
      </w:pPr>
    </w:p>
    <w:p w:rsidR="00A85B64" w:rsidRDefault="00A85B64" w:rsidP="00A85B64">
      <w:pPr>
        <w:pStyle w:val="BodyText"/>
        <w:spacing w:before="183"/>
        <w:rPr>
          <w:lang w:val="id-ID"/>
        </w:rPr>
      </w:pPr>
    </w:p>
    <w:p w:rsidR="00A85B64" w:rsidRDefault="00A65B6D" w:rsidP="00A85B64">
      <w:pPr>
        <w:pStyle w:val="BodyText"/>
        <w:spacing w:before="183"/>
        <w:rPr>
          <w:lang w:val="id-ID"/>
        </w:rPr>
      </w:pPr>
      <w:r>
        <w:lastRenderedPageBreak/>
        <w:t xml:space="preserve">Tabel </w:t>
      </w:r>
      <w:r>
        <w:rPr>
          <w:lang w:val="id-ID"/>
        </w:rPr>
        <w:t>3</w:t>
      </w:r>
      <w:r w:rsidR="009B3F02">
        <w:t xml:space="preserve"> Uji Hausman</w:t>
      </w:r>
    </w:p>
    <w:p w:rsidR="00A85B64" w:rsidRPr="00A85B64" w:rsidRDefault="00A85B64" w:rsidP="00A85B64">
      <w:pPr>
        <w:widowControl/>
        <w:adjustRightInd w:val="0"/>
        <w:rPr>
          <w:rFonts w:ascii="Arial" w:eastAsiaTheme="minorHAnsi" w:hAnsi="Arial" w:cs="Arial"/>
          <w:sz w:val="18"/>
          <w:szCs w:val="18"/>
          <w:lang w:val="id-ID"/>
        </w:rPr>
      </w:pPr>
    </w:p>
    <w:tbl>
      <w:tblPr>
        <w:tblW w:w="0" w:type="auto"/>
        <w:jc w:val="center"/>
        <w:tblInd w:w="30" w:type="dxa"/>
        <w:tblLayout w:type="fixed"/>
        <w:tblCellMar>
          <w:left w:w="0" w:type="dxa"/>
          <w:right w:w="0" w:type="dxa"/>
        </w:tblCellMar>
        <w:tblLook w:val="0000"/>
      </w:tblPr>
      <w:tblGrid>
        <w:gridCol w:w="2017"/>
        <w:gridCol w:w="1103"/>
        <w:gridCol w:w="1207"/>
        <w:gridCol w:w="1208"/>
        <w:gridCol w:w="1239"/>
      </w:tblGrid>
      <w:tr w:rsidR="00A85B64" w:rsidRPr="00A85B64" w:rsidTr="00A85B64">
        <w:trPr>
          <w:trHeight w:val="225"/>
          <w:jc w:val="center"/>
        </w:trPr>
        <w:tc>
          <w:tcPr>
            <w:tcW w:w="5535" w:type="dxa"/>
            <w:gridSpan w:val="4"/>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Correlated Random Effects - Hausman Test</w:t>
            </w:r>
          </w:p>
        </w:tc>
        <w:tc>
          <w:tcPr>
            <w:tcW w:w="1239"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A85B64">
        <w:trPr>
          <w:trHeight w:val="225"/>
          <w:jc w:val="center"/>
        </w:trPr>
        <w:tc>
          <w:tcPr>
            <w:tcW w:w="4327" w:type="dxa"/>
            <w:gridSpan w:val="3"/>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Equation: Untitled</w:t>
            </w: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39"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A85B64">
        <w:trPr>
          <w:trHeight w:val="225"/>
          <w:jc w:val="center"/>
        </w:trPr>
        <w:tc>
          <w:tcPr>
            <w:tcW w:w="5535" w:type="dxa"/>
            <w:gridSpan w:val="4"/>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Test cross-section random effects</w:t>
            </w:r>
          </w:p>
        </w:tc>
        <w:tc>
          <w:tcPr>
            <w:tcW w:w="1239"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A85B64">
        <w:trPr>
          <w:trHeight w:hRule="exact" w:val="70"/>
          <w:jc w:val="center"/>
        </w:trPr>
        <w:tc>
          <w:tcPr>
            <w:tcW w:w="201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39"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A85B6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39"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A85B64">
        <w:trPr>
          <w:trHeight w:val="225"/>
          <w:jc w:val="center"/>
        </w:trPr>
        <w:tc>
          <w:tcPr>
            <w:tcW w:w="3120" w:type="dxa"/>
            <w:gridSpan w:val="2"/>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Test Summary</w:t>
            </w:r>
          </w:p>
        </w:tc>
        <w:tc>
          <w:tcPr>
            <w:tcW w:w="120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Chi-Sq. Statistic</w:t>
            </w:r>
          </w:p>
        </w:tc>
        <w:tc>
          <w:tcPr>
            <w:tcW w:w="1208"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Chi-Sq. d.f.</w:t>
            </w:r>
          </w:p>
        </w:tc>
        <w:tc>
          <w:tcPr>
            <w:tcW w:w="1239"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Prob. </w:t>
            </w:r>
          </w:p>
        </w:tc>
      </w:tr>
      <w:tr w:rsidR="00A85B64" w:rsidRPr="00A85B64" w:rsidTr="00A85B64">
        <w:trPr>
          <w:trHeight w:hRule="exact" w:val="70"/>
          <w:jc w:val="center"/>
        </w:trPr>
        <w:tc>
          <w:tcPr>
            <w:tcW w:w="201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39"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A85B6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39"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A85B64">
        <w:trPr>
          <w:trHeight w:val="225"/>
          <w:jc w:val="center"/>
        </w:trPr>
        <w:tc>
          <w:tcPr>
            <w:tcW w:w="3120" w:type="dxa"/>
            <w:gridSpan w:val="2"/>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Cross-section random</w:t>
            </w:r>
          </w:p>
        </w:tc>
        <w:tc>
          <w:tcPr>
            <w:tcW w:w="120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0.000000</w:t>
            </w:r>
          </w:p>
        </w:tc>
        <w:tc>
          <w:tcPr>
            <w:tcW w:w="1208"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2</w:t>
            </w:r>
          </w:p>
        </w:tc>
        <w:tc>
          <w:tcPr>
            <w:tcW w:w="1239"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1.0000</w:t>
            </w:r>
          </w:p>
        </w:tc>
      </w:tr>
      <w:tr w:rsidR="00A85B64" w:rsidRPr="00A85B64" w:rsidTr="00A85B64">
        <w:trPr>
          <w:trHeight w:hRule="exact" w:val="90"/>
          <w:jc w:val="center"/>
        </w:trPr>
        <w:tc>
          <w:tcPr>
            <w:tcW w:w="2017" w:type="dxa"/>
            <w:tcBorders>
              <w:top w:val="nil"/>
              <w:left w:val="nil"/>
              <w:bottom w:val="double" w:sz="6" w:space="0"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0"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0"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0"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39" w:type="dxa"/>
            <w:tcBorders>
              <w:top w:val="nil"/>
              <w:left w:val="nil"/>
              <w:bottom w:val="double" w:sz="6" w:space="0"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A85B64">
        <w:trPr>
          <w:trHeight w:hRule="exact" w:val="11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39"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bl>
    <w:p w:rsidR="00FB4C2F" w:rsidRPr="00A85B64" w:rsidRDefault="009B3F02" w:rsidP="00A85B64">
      <w:pPr>
        <w:pStyle w:val="BodyText"/>
        <w:spacing w:before="183"/>
        <w:ind w:left="720"/>
      </w:pPr>
      <w:r>
        <w:t>Berdasarkan hasil Uji Hausman tersebut dihasilkan nilai prob.(chi-square) sebesar 1.0000. Nilai prob. (chi square) tersebut (1.0000) lebih besar dari taraf signifikansi 5% (α = 0.05). Sesuai dengan ketentuan pengambilan keputusan dapat ditarik kesimpulan bahwa H</w:t>
      </w:r>
      <w:r>
        <w:rPr>
          <w:vertAlign w:val="subscript"/>
        </w:rPr>
        <w:t>0</w:t>
      </w:r>
      <w:r>
        <w:t xml:space="preserve"> diterima. Sehingga metode estimasi yang paling tepat digunakan pada penelitian ini adalah </w:t>
      </w:r>
      <w:r>
        <w:rPr>
          <w:i/>
        </w:rPr>
        <w:t>Random Effect Model.</w:t>
      </w:r>
    </w:p>
    <w:p w:rsidR="00FB4C2F" w:rsidRDefault="009B3F02">
      <w:pPr>
        <w:pStyle w:val="Heading2"/>
        <w:spacing w:before="131"/>
      </w:pPr>
      <w:r>
        <w:t>Persamaan Regresi</w:t>
      </w:r>
      <w:r w:rsidR="00A85B64">
        <w:rPr>
          <w:lang w:val="id-ID"/>
        </w:rPr>
        <w:t xml:space="preserve"> Linier Berganda Model</w:t>
      </w:r>
      <w:r>
        <w:t xml:space="preserve"> Data Panel</w:t>
      </w:r>
    </w:p>
    <w:p w:rsidR="00FB4C2F" w:rsidRDefault="009B3F02" w:rsidP="00A85B64">
      <w:pPr>
        <w:pStyle w:val="BodyText"/>
        <w:spacing w:before="101"/>
        <w:ind w:left="588" w:right="156" w:firstLine="280"/>
        <w:jc w:val="both"/>
        <w:rPr>
          <w:sz w:val="28"/>
        </w:rPr>
      </w:pPr>
      <w:r>
        <w:t>Berdasarkan pengujian model yang dilakukan, maka model yang digunakan dalam regresi data panel pada</w:t>
      </w:r>
      <w:r>
        <w:rPr>
          <w:spacing w:val="-8"/>
        </w:rPr>
        <w:t xml:space="preserve"> </w:t>
      </w:r>
      <w:r>
        <w:t>penelitian</w:t>
      </w:r>
      <w:r>
        <w:rPr>
          <w:spacing w:val="-12"/>
        </w:rPr>
        <w:t xml:space="preserve"> </w:t>
      </w:r>
      <w:r>
        <w:t>ini</w:t>
      </w:r>
      <w:r>
        <w:rPr>
          <w:spacing w:val="-6"/>
        </w:rPr>
        <w:t xml:space="preserve"> </w:t>
      </w:r>
      <w:r>
        <w:t>adalah</w:t>
      </w:r>
      <w:r>
        <w:rPr>
          <w:spacing w:val="-4"/>
        </w:rPr>
        <w:t xml:space="preserve"> </w:t>
      </w:r>
      <w:r>
        <w:rPr>
          <w:i/>
        </w:rPr>
        <w:t>Random</w:t>
      </w:r>
      <w:r>
        <w:rPr>
          <w:i/>
          <w:spacing w:val="-11"/>
        </w:rPr>
        <w:t xml:space="preserve"> </w:t>
      </w:r>
      <w:r>
        <w:rPr>
          <w:i/>
        </w:rPr>
        <w:t>Effect</w:t>
      </w:r>
      <w:r>
        <w:rPr>
          <w:i/>
          <w:spacing w:val="-8"/>
        </w:rPr>
        <w:t xml:space="preserve"> </w:t>
      </w:r>
      <w:r>
        <w:rPr>
          <w:i/>
        </w:rPr>
        <w:t>Model</w:t>
      </w:r>
      <w:r>
        <w:t>.</w:t>
      </w:r>
      <w:r>
        <w:rPr>
          <w:spacing w:val="-10"/>
        </w:rPr>
        <w:t xml:space="preserve"> </w:t>
      </w:r>
      <w:r>
        <w:t>Berdasarkan</w:t>
      </w:r>
      <w:r>
        <w:rPr>
          <w:spacing w:val="-11"/>
        </w:rPr>
        <w:t xml:space="preserve"> </w:t>
      </w:r>
      <w:r>
        <w:t>uji</w:t>
      </w:r>
      <w:r>
        <w:rPr>
          <w:spacing w:val="-4"/>
        </w:rPr>
        <w:t xml:space="preserve"> </w:t>
      </w:r>
      <w:r>
        <w:rPr>
          <w:i/>
        </w:rPr>
        <w:t>Random</w:t>
      </w:r>
      <w:r>
        <w:rPr>
          <w:i/>
          <w:spacing w:val="-10"/>
        </w:rPr>
        <w:t xml:space="preserve"> </w:t>
      </w:r>
      <w:r>
        <w:rPr>
          <w:i/>
        </w:rPr>
        <w:t>Effect</w:t>
      </w:r>
      <w:r>
        <w:rPr>
          <w:i/>
          <w:spacing w:val="-5"/>
        </w:rPr>
        <w:t xml:space="preserve"> </w:t>
      </w:r>
      <w:r>
        <w:rPr>
          <w:i/>
        </w:rPr>
        <w:t>Model</w:t>
      </w:r>
      <w:r>
        <w:rPr>
          <w:i/>
          <w:spacing w:val="-1"/>
        </w:rPr>
        <w:t xml:space="preserve"> </w:t>
      </w:r>
      <w:r>
        <w:t>yang</w:t>
      </w:r>
      <w:r>
        <w:rPr>
          <w:spacing w:val="-6"/>
        </w:rPr>
        <w:t xml:space="preserve"> </w:t>
      </w:r>
      <w:r>
        <w:t>telah</w:t>
      </w:r>
      <w:r>
        <w:rPr>
          <w:spacing w:val="-9"/>
        </w:rPr>
        <w:t xml:space="preserve"> </w:t>
      </w:r>
      <w:r>
        <w:t>dilakukan, maka</w:t>
      </w:r>
      <w:r>
        <w:rPr>
          <w:spacing w:val="-3"/>
        </w:rPr>
        <w:t xml:space="preserve"> </w:t>
      </w:r>
      <w:r>
        <w:t>diperoleh</w:t>
      </w:r>
      <w:r>
        <w:rPr>
          <w:spacing w:val="-11"/>
        </w:rPr>
        <w:t xml:space="preserve"> </w:t>
      </w:r>
      <w:r>
        <w:t>data</w:t>
      </w:r>
      <w:r>
        <w:rPr>
          <w:spacing w:val="-2"/>
        </w:rPr>
        <w:t xml:space="preserve"> </w:t>
      </w:r>
      <w:r>
        <w:t>hasil</w:t>
      </w:r>
      <w:r>
        <w:rPr>
          <w:spacing w:val="-5"/>
        </w:rPr>
        <w:t xml:space="preserve"> </w:t>
      </w:r>
      <w:r>
        <w:t>pengujian</w:t>
      </w:r>
      <w:r>
        <w:rPr>
          <w:spacing w:val="-11"/>
        </w:rPr>
        <w:t xml:space="preserve"> </w:t>
      </w:r>
      <w:r>
        <w:t>sebagai</w:t>
      </w:r>
      <w:r>
        <w:rPr>
          <w:spacing w:val="-7"/>
        </w:rPr>
        <w:t xml:space="preserve"> </w:t>
      </w:r>
      <w:r>
        <w:t>berikut</w:t>
      </w:r>
      <w:r>
        <w:rPr>
          <w:spacing w:val="-7"/>
        </w:rPr>
        <w:t xml:space="preserve"> </w:t>
      </w:r>
      <w:r>
        <w:t>:</w:t>
      </w:r>
      <w:r w:rsidR="00A85B64">
        <w:rPr>
          <w:sz w:val="28"/>
        </w:rPr>
        <w:t xml:space="preserve"> </w:t>
      </w:r>
    </w:p>
    <w:p w:rsidR="00FB4C2F" w:rsidRDefault="00A65B6D">
      <w:pPr>
        <w:pStyle w:val="BodyText"/>
        <w:spacing w:before="91"/>
        <w:ind w:left="588"/>
      </w:pPr>
      <w:r>
        <w:t xml:space="preserve">Tabel </w:t>
      </w:r>
      <w:r>
        <w:rPr>
          <w:lang w:val="id-ID"/>
        </w:rPr>
        <w:t>4</w:t>
      </w:r>
      <w:r w:rsidR="009B3F02">
        <w:t xml:space="preserve"> Random Effect Model</w:t>
      </w:r>
    </w:p>
    <w:p w:rsidR="00A85B64" w:rsidRPr="00A85B64" w:rsidRDefault="00A85B64" w:rsidP="00A85B64">
      <w:pPr>
        <w:widowControl/>
        <w:adjustRightInd w:val="0"/>
        <w:rPr>
          <w:rFonts w:ascii="Arial" w:eastAsiaTheme="minorHAnsi" w:hAnsi="Arial" w:cs="Arial"/>
          <w:sz w:val="18"/>
          <w:szCs w:val="18"/>
          <w:lang w:val="id-ID"/>
        </w:rPr>
      </w:pPr>
    </w:p>
    <w:tbl>
      <w:tblPr>
        <w:tblW w:w="0" w:type="auto"/>
        <w:jc w:val="center"/>
        <w:tblInd w:w="30" w:type="dxa"/>
        <w:tblLayout w:type="fixed"/>
        <w:tblCellMar>
          <w:left w:w="0" w:type="dxa"/>
          <w:right w:w="0" w:type="dxa"/>
        </w:tblCellMar>
        <w:tblLook w:val="0000"/>
      </w:tblPr>
      <w:tblGrid>
        <w:gridCol w:w="2017"/>
        <w:gridCol w:w="1103"/>
        <w:gridCol w:w="1207"/>
        <w:gridCol w:w="1208"/>
        <w:gridCol w:w="997"/>
      </w:tblGrid>
      <w:tr w:rsidR="00A85B64" w:rsidRPr="00387E94" w:rsidTr="00387E94">
        <w:trPr>
          <w:trHeight w:val="225"/>
          <w:jc w:val="center"/>
        </w:trPr>
        <w:tc>
          <w:tcPr>
            <w:tcW w:w="2017" w:type="dxa"/>
            <w:gridSpan w:val="3"/>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Dependent Variable: Y</w:t>
            </w: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gridSpan w:val="5"/>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Method: Panel EGLS (Cross-section random effects)</w:t>
            </w:r>
          </w:p>
        </w:tc>
      </w:tr>
      <w:tr w:rsidR="00A85B64" w:rsidRPr="00387E94" w:rsidTr="00387E94">
        <w:trPr>
          <w:trHeight w:val="225"/>
          <w:jc w:val="center"/>
        </w:trPr>
        <w:tc>
          <w:tcPr>
            <w:tcW w:w="2017" w:type="dxa"/>
            <w:gridSpan w:val="3"/>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Date: 04/24/18   Time: 21:08</w:t>
            </w: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gridSpan w:val="3"/>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Sample: 2012 2016</w:t>
            </w: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gridSpan w:val="3"/>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Periods included: 5</w:t>
            </w: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gridSpan w:val="3"/>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Cross-sections included: 16</w:t>
            </w: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gridSpan w:val="4"/>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Total panel (balanced) observations: 80</w:t>
            </w: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gridSpan w:val="5"/>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Swamy and Arora estimator of component variances</w:t>
            </w:r>
          </w:p>
        </w:tc>
      </w:tr>
      <w:tr w:rsidR="00A85B64" w:rsidRPr="00A85B64" w:rsidTr="00387E94">
        <w:trPr>
          <w:trHeight w:hRule="exact" w:val="90"/>
          <w:jc w:val="center"/>
        </w:trPr>
        <w:tc>
          <w:tcPr>
            <w:tcW w:w="201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r w:rsidRPr="00A85B64">
              <w:rPr>
                <w:rFonts w:eastAsiaTheme="minorHAnsi"/>
                <w:color w:val="000000"/>
                <w:sz w:val="20"/>
                <w:szCs w:val="20"/>
                <w:lang w:val="id-ID"/>
              </w:rPr>
              <w:t>Variable</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Coefficient</w:t>
            </w:r>
          </w:p>
        </w:tc>
        <w:tc>
          <w:tcPr>
            <w:tcW w:w="120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Std. Error</w:t>
            </w:r>
          </w:p>
        </w:tc>
        <w:tc>
          <w:tcPr>
            <w:tcW w:w="1208"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t-Statistic</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Prob.  </w:t>
            </w:r>
          </w:p>
        </w:tc>
      </w:tr>
      <w:tr w:rsidR="00A85B64" w:rsidRPr="00A85B64" w:rsidTr="00387E94">
        <w:trPr>
          <w:trHeight w:hRule="exact" w:val="90"/>
          <w:jc w:val="center"/>
        </w:trPr>
        <w:tc>
          <w:tcPr>
            <w:tcW w:w="201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r w:rsidRPr="00A85B64">
              <w:rPr>
                <w:rFonts w:eastAsiaTheme="minorHAnsi"/>
                <w:color w:val="000000"/>
                <w:sz w:val="20"/>
                <w:szCs w:val="20"/>
                <w:lang w:val="id-ID"/>
              </w:rPr>
              <w:t>C</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2.820634</w:t>
            </w:r>
          </w:p>
        </w:tc>
        <w:tc>
          <w:tcPr>
            <w:tcW w:w="120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0.372299</w:t>
            </w:r>
          </w:p>
        </w:tc>
        <w:tc>
          <w:tcPr>
            <w:tcW w:w="1208"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7.576251</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0.0000</w:t>
            </w:r>
          </w:p>
        </w:tc>
      </w:tr>
      <w:tr w:rsidR="00A85B64" w:rsidRPr="00A85B6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r w:rsidRPr="00A85B64">
              <w:rPr>
                <w:rFonts w:eastAsiaTheme="minorHAnsi"/>
                <w:color w:val="000000"/>
                <w:sz w:val="20"/>
                <w:szCs w:val="20"/>
                <w:lang w:val="id-ID"/>
              </w:rPr>
              <w:t>X1</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-32.61906</w:t>
            </w:r>
          </w:p>
        </w:tc>
        <w:tc>
          <w:tcPr>
            <w:tcW w:w="120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7.081113</w:t>
            </w:r>
          </w:p>
        </w:tc>
        <w:tc>
          <w:tcPr>
            <w:tcW w:w="1208"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-4.606488</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0.0000</w:t>
            </w:r>
          </w:p>
        </w:tc>
      </w:tr>
      <w:tr w:rsidR="00A85B64" w:rsidRPr="00A85B6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r w:rsidRPr="00A85B64">
              <w:rPr>
                <w:rFonts w:eastAsiaTheme="minorHAnsi"/>
                <w:color w:val="000000"/>
                <w:sz w:val="20"/>
                <w:szCs w:val="20"/>
                <w:lang w:val="id-ID"/>
              </w:rPr>
              <w:t>X2</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10.94652</w:t>
            </w:r>
          </w:p>
        </w:tc>
        <w:tc>
          <w:tcPr>
            <w:tcW w:w="120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3.903069</w:t>
            </w:r>
          </w:p>
        </w:tc>
        <w:tc>
          <w:tcPr>
            <w:tcW w:w="1208"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2.804593</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0.0064</w:t>
            </w:r>
          </w:p>
        </w:tc>
      </w:tr>
      <w:tr w:rsidR="00A85B64" w:rsidRPr="00A85B64" w:rsidTr="00387E94">
        <w:trPr>
          <w:trHeight w:hRule="exact" w:val="70"/>
          <w:jc w:val="center"/>
        </w:trPr>
        <w:tc>
          <w:tcPr>
            <w:tcW w:w="201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gridSpan w:val="2"/>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r w:rsidRPr="00A85B64">
              <w:rPr>
                <w:rFonts w:eastAsiaTheme="minorHAnsi"/>
                <w:color w:val="000000"/>
                <w:sz w:val="20"/>
                <w:szCs w:val="20"/>
                <w:lang w:val="id-ID"/>
              </w:rPr>
              <w:t>Effects Specification</w:t>
            </w: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S.D.  </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Rho  </w:t>
            </w:r>
          </w:p>
        </w:tc>
      </w:tr>
      <w:tr w:rsidR="00A85B64" w:rsidRPr="00A85B64" w:rsidTr="00387E94">
        <w:trPr>
          <w:trHeight w:hRule="exact" w:val="70"/>
          <w:jc w:val="center"/>
        </w:trPr>
        <w:tc>
          <w:tcPr>
            <w:tcW w:w="201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gridSpan w:val="3"/>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Cross-section random</w:t>
            </w:r>
          </w:p>
        </w:tc>
        <w:tc>
          <w:tcPr>
            <w:tcW w:w="1208"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0.524387</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0.7270</w:t>
            </w:r>
          </w:p>
        </w:tc>
      </w:tr>
      <w:tr w:rsidR="00A85B64" w:rsidRPr="00387E94" w:rsidTr="00387E94">
        <w:trPr>
          <w:trHeight w:val="225"/>
          <w:jc w:val="center"/>
        </w:trPr>
        <w:tc>
          <w:tcPr>
            <w:tcW w:w="2017" w:type="dxa"/>
            <w:gridSpan w:val="3"/>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Idiosyncratic random</w:t>
            </w:r>
          </w:p>
        </w:tc>
        <w:tc>
          <w:tcPr>
            <w:tcW w:w="1208"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0.321339</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0.2730</w:t>
            </w:r>
          </w:p>
        </w:tc>
      </w:tr>
      <w:tr w:rsidR="00A85B64" w:rsidRPr="00A85B64" w:rsidTr="00387E94">
        <w:trPr>
          <w:trHeight w:hRule="exact" w:val="90"/>
          <w:jc w:val="center"/>
        </w:trPr>
        <w:tc>
          <w:tcPr>
            <w:tcW w:w="201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gridSpan w:val="2"/>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r w:rsidRPr="00A85B64">
              <w:rPr>
                <w:rFonts w:eastAsiaTheme="minorHAnsi"/>
                <w:color w:val="000000"/>
                <w:sz w:val="20"/>
                <w:szCs w:val="20"/>
                <w:lang w:val="id-ID"/>
              </w:rPr>
              <w:t>Weighted Statistics</w:t>
            </w: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90"/>
          <w:jc w:val="center"/>
        </w:trPr>
        <w:tc>
          <w:tcPr>
            <w:tcW w:w="201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R-squared</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0.221594</w:t>
            </w:r>
          </w:p>
        </w:tc>
        <w:tc>
          <w:tcPr>
            <w:tcW w:w="1207" w:type="dxa"/>
            <w:gridSpan w:val="2"/>
            <w:tcBorders>
              <w:top w:val="nil"/>
              <w:left w:val="nil"/>
              <w:bottom w:val="nil"/>
              <w:right w:val="nil"/>
            </w:tcBorders>
            <w:vAlign w:val="bottom"/>
          </w:tcPr>
          <w:p w:rsidR="00A85B64" w:rsidRPr="00A85B64" w:rsidRDefault="00A85B64" w:rsidP="00A85B64">
            <w:pPr>
              <w:widowControl/>
              <w:adjustRightInd w:val="0"/>
              <w:ind w:right="10"/>
              <w:rPr>
                <w:rFonts w:eastAsiaTheme="minorHAnsi"/>
                <w:color w:val="000000"/>
                <w:sz w:val="20"/>
                <w:szCs w:val="20"/>
                <w:lang w:val="id-ID"/>
              </w:rPr>
            </w:pPr>
            <w:r w:rsidRPr="00A85B64">
              <w:rPr>
                <w:rFonts w:eastAsiaTheme="minorHAnsi"/>
                <w:color w:val="000000"/>
                <w:sz w:val="20"/>
                <w:szCs w:val="20"/>
                <w:lang w:val="id-ID"/>
              </w:rPr>
              <w:t>    Mean dependent var</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0.330676</w:t>
            </w:r>
          </w:p>
        </w:tc>
      </w:tr>
      <w:tr w:rsidR="00A85B64" w:rsidRPr="00387E9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Adjusted R-squared</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0.201376</w:t>
            </w:r>
          </w:p>
        </w:tc>
        <w:tc>
          <w:tcPr>
            <w:tcW w:w="1207" w:type="dxa"/>
            <w:gridSpan w:val="2"/>
            <w:tcBorders>
              <w:top w:val="nil"/>
              <w:left w:val="nil"/>
              <w:bottom w:val="nil"/>
              <w:right w:val="nil"/>
            </w:tcBorders>
            <w:vAlign w:val="bottom"/>
          </w:tcPr>
          <w:p w:rsidR="00A85B64" w:rsidRPr="00A85B64" w:rsidRDefault="00A85B64" w:rsidP="00A85B64">
            <w:pPr>
              <w:widowControl/>
              <w:adjustRightInd w:val="0"/>
              <w:ind w:right="10"/>
              <w:rPr>
                <w:rFonts w:eastAsiaTheme="minorHAnsi"/>
                <w:color w:val="000000"/>
                <w:sz w:val="20"/>
                <w:szCs w:val="20"/>
                <w:lang w:val="id-ID"/>
              </w:rPr>
            </w:pPr>
            <w:r w:rsidRPr="00A85B64">
              <w:rPr>
                <w:rFonts w:eastAsiaTheme="minorHAnsi"/>
                <w:color w:val="000000"/>
                <w:sz w:val="20"/>
                <w:szCs w:val="20"/>
                <w:lang w:val="id-ID"/>
              </w:rPr>
              <w:t>    S.D. dependent var</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0.359577</w:t>
            </w:r>
          </w:p>
        </w:tc>
      </w:tr>
      <w:tr w:rsidR="00A85B64" w:rsidRPr="00387E9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S.E. of regression</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0.321339</w:t>
            </w:r>
          </w:p>
        </w:tc>
        <w:tc>
          <w:tcPr>
            <w:tcW w:w="1207" w:type="dxa"/>
            <w:gridSpan w:val="2"/>
            <w:tcBorders>
              <w:top w:val="nil"/>
              <w:left w:val="nil"/>
              <w:bottom w:val="nil"/>
              <w:right w:val="nil"/>
            </w:tcBorders>
            <w:vAlign w:val="bottom"/>
          </w:tcPr>
          <w:p w:rsidR="00A85B64" w:rsidRPr="00A85B64" w:rsidRDefault="00A85B64" w:rsidP="00A85B64">
            <w:pPr>
              <w:widowControl/>
              <w:adjustRightInd w:val="0"/>
              <w:ind w:right="10"/>
              <w:rPr>
                <w:rFonts w:eastAsiaTheme="minorHAnsi"/>
                <w:color w:val="000000"/>
                <w:sz w:val="20"/>
                <w:szCs w:val="20"/>
                <w:lang w:val="id-ID"/>
              </w:rPr>
            </w:pPr>
            <w:r w:rsidRPr="00A85B64">
              <w:rPr>
                <w:rFonts w:eastAsiaTheme="minorHAnsi"/>
                <w:color w:val="000000"/>
                <w:sz w:val="20"/>
                <w:szCs w:val="20"/>
                <w:lang w:val="id-ID"/>
              </w:rPr>
              <w:t>    Sum squared resid</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7.950918</w:t>
            </w:r>
          </w:p>
        </w:tc>
      </w:tr>
      <w:tr w:rsidR="00A85B64" w:rsidRPr="00387E9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F-statistic</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10.96006</w:t>
            </w:r>
          </w:p>
        </w:tc>
        <w:tc>
          <w:tcPr>
            <w:tcW w:w="1207" w:type="dxa"/>
            <w:gridSpan w:val="2"/>
            <w:tcBorders>
              <w:top w:val="nil"/>
              <w:left w:val="nil"/>
              <w:bottom w:val="nil"/>
              <w:right w:val="nil"/>
            </w:tcBorders>
            <w:vAlign w:val="bottom"/>
          </w:tcPr>
          <w:p w:rsidR="00A85B64" w:rsidRPr="00A85B64" w:rsidRDefault="00A85B64" w:rsidP="00A85B64">
            <w:pPr>
              <w:widowControl/>
              <w:adjustRightInd w:val="0"/>
              <w:ind w:right="10"/>
              <w:rPr>
                <w:rFonts w:eastAsiaTheme="minorHAnsi"/>
                <w:color w:val="000000"/>
                <w:sz w:val="20"/>
                <w:szCs w:val="20"/>
                <w:lang w:val="id-ID"/>
              </w:rPr>
            </w:pPr>
            <w:r w:rsidRPr="00A85B64">
              <w:rPr>
                <w:rFonts w:eastAsiaTheme="minorHAnsi"/>
                <w:color w:val="000000"/>
                <w:sz w:val="20"/>
                <w:szCs w:val="20"/>
                <w:lang w:val="id-ID"/>
              </w:rPr>
              <w:t>    Durbin-Watson stat</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1.313388</w:t>
            </w:r>
          </w:p>
        </w:tc>
      </w:tr>
      <w:tr w:rsidR="00A85B64" w:rsidRPr="00A85B6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Prob(F-statistic)</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0.000065</w:t>
            </w:r>
          </w:p>
        </w:tc>
        <w:tc>
          <w:tcPr>
            <w:tcW w:w="1207" w:type="dxa"/>
            <w:tcBorders>
              <w:top w:val="nil"/>
              <w:left w:val="nil"/>
              <w:bottom w:val="nil"/>
              <w:right w:val="nil"/>
            </w:tcBorders>
            <w:vAlign w:val="bottom"/>
          </w:tcPr>
          <w:p w:rsidR="00A85B64" w:rsidRPr="00A85B64" w:rsidRDefault="00A85B64" w:rsidP="00A85B64">
            <w:pPr>
              <w:widowControl/>
              <w:adjustRightInd w:val="0"/>
              <w:ind w:right="1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ind w:right="1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ind w:right="10"/>
              <w:jc w:val="center"/>
              <w:rPr>
                <w:rFonts w:eastAsiaTheme="minorHAnsi"/>
                <w:color w:val="000000"/>
                <w:sz w:val="20"/>
                <w:szCs w:val="20"/>
                <w:lang w:val="id-ID"/>
              </w:rPr>
            </w:pPr>
          </w:p>
        </w:tc>
      </w:tr>
      <w:tr w:rsidR="00A85B64" w:rsidRPr="00A85B64" w:rsidTr="00387E94">
        <w:trPr>
          <w:trHeight w:hRule="exact" w:val="70"/>
          <w:jc w:val="center"/>
        </w:trPr>
        <w:tc>
          <w:tcPr>
            <w:tcW w:w="201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gridSpan w:val="2"/>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r w:rsidRPr="00A85B64">
              <w:rPr>
                <w:rFonts w:eastAsiaTheme="minorHAnsi"/>
                <w:color w:val="000000"/>
                <w:sz w:val="20"/>
                <w:szCs w:val="20"/>
                <w:lang w:val="id-ID"/>
              </w:rPr>
              <w:t>Unweighted Statistics</w:t>
            </w: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70"/>
          <w:jc w:val="center"/>
        </w:trPr>
        <w:tc>
          <w:tcPr>
            <w:tcW w:w="201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double" w:sz="6" w:space="2"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387E94" w:rsidTr="00387E94">
        <w:trPr>
          <w:trHeight w:val="225"/>
          <w:jc w:val="center"/>
        </w:trPr>
        <w:tc>
          <w:tcPr>
            <w:tcW w:w="2017" w:type="dxa"/>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R-squared</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0.073398</w:t>
            </w:r>
          </w:p>
        </w:tc>
        <w:tc>
          <w:tcPr>
            <w:tcW w:w="1207" w:type="dxa"/>
            <w:gridSpan w:val="2"/>
            <w:tcBorders>
              <w:top w:val="nil"/>
              <w:left w:val="nil"/>
              <w:bottom w:val="nil"/>
              <w:right w:val="nil"/>
            </w:tcBorders>
            <w:vAlign w:val="bottom"/>
          </w:tcPr>
          <w:p w:rsidR="00A85B64" w:rsidRPr="00A85B64" w:rsidRDefault="00A85B64" w:rsidP="00A85B64">
            <w:pPr>
              <w:widowControl/>
              <w:adjustRightInd w:val="0"/>
              <w:ind w:right="10"/>
              <w:rPr>
                <w:rFonts w:eastAsiaTheme="minorHAnsi"/>
                <w:color w:val="000000"/>
                <w:sz w:val="20"/>
                <w:szCs w:val="20"/>
                <w:lang w:val="id-ID"/>
              </w:rPr>
            </w:pPr>
            <w:r w:rsidRPr="00A85B64">
              <w:rPr>
                <w:rFonts w:eastAsiaTheme="minorHAnsi"/>
                <w:color w:val="000000"/>
                <w:sz w:val="20"/>
                <w:szCs w:val="20"/>
                <w:lang w:val="id-ID"/>
              </w:rPr>
              <w:t>    Mean dependent var</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1.251125</w:t>
            </w:r>
          </w:p>
        </w:tc>
      </w:tr>
      <w:tr w:rsidR="00A85B64" w:rsidRPr="00387E94" w:rsidTr="00387E94">
        <w:trPr>
          <w:trHeight w:val="70"/>
          <w:jc w:val="center"/>
        </w:trPr>
        <w:tc>
          <w:tcPr>
            <w:tcW w:w="2017" w:type="dxa"/>
            <w:tcBorders>
              <w:top w:val="nil"/>
              <w:left w:val="nil"/>
              <w:bottom w:val="nil"/>
              <w:right w:val="nil"/>
            </w:tcBorders>
            <w:vAlign w:val="bottom"/>
          </w:tcPr>
          <w:p w:rsidR="00A85B64" w:rsidRPr="00A85B64" w:rsidRDefault="00A85B64" w:rsidP="00A85B64">
            <w:pPr>
              <w:widowControl/>
              <w:adjustRightInd w:val="0"/>
              <w:rPr>
                <w:rFonts w:eastAsiaTheme="minorHAnsi"/>
                <w:color w:val="000000"/>
                <w:sz w:val="20"/>
                <w:szCs w:val="20"/>
                <w:lang w:val="id-ID"/>
              </w:rPr>
            </w:pPr>
            <w:r w:rsidRPr="00A85B64">
              <w:rPr>
                <w:rFonts w:eastAsiaTheme="minorHAnsi"/>
                <w:color w:val="000000"/>
                <w:sz w:val="20"/>
                <w:szCs w:val="20"/>
                <w:lang w:val="id-ID"/>
              </w:rPr>
              <w:t>Sum squared resid</w:t>
            </w:r>
          </w:p>
        </w:tc>
        <w:tc>
          <w:tcPr>
            <w:tcW w:w="1103"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28.57456</w:t>
            </w:r>
          </w:p>
        </w:tc>
        <w:tc>
          <w:tcPr>
            <w:tcW w:w="1207" w:type="dxa"/>
            <w:gridSpan w:val="2"/>
            <w:tcBorders>
              <w:top w:val="nil"/>
              <w:left w:val="nil"/>
              <w:bottom w:val="nil"/>
              <w:right w:val="nil"/>
            </w:tcBorders>
            <w:vAlign w:val="bottom"/>
          </w:tcPr>
          <w:p w:rsidR="00A85B64" w:rsidRPr="00A85B64" w:rsidRDefault="00A85B64" w:rsidP="00A85B64">
            <w:pPr>
              <w:widowControl/>
              <w:adjustRightInd w:val="0"/>
              <w:ind w:right="10"/>
              <w:rPr>
                <w:rFonts w:eastAsiaTheme="minorHAnsi"/>
                <w:color w:val="000000"/>
                <w:sz w:val="20"/>
                <w:szCs w:val="20"/>
                <w:lang w:val="id-ID"/>
              </w:rPr>
            </w:pPr>
            <w:r w:rsidRPr="00A85B64">
              <w:rPr>
                <w:rFonts w:eastAsiaTheme="minorHAnsi"/>
                <w:color w:val="000000"/>
                <w:sz w:val="20"/>
                <w:szCs w:val="20"/>
                <w:lang w:val="id-ID"/>
              </w:rPr>
              <w:t>    Durbin-Watson stat</w:t>
            </w:r>
          </w:p>
        </w:tc>
        <w:tc>
          <w:tcPr>
            <w:tcW w:w="997" w:type="dxa"/>
            <w:tcBorders>
              <w:top w:val="nil"/>
              <w:left w:val="nil"/>
              <w:bottom w:val="nil"/>
              <w:right w:val="nil"/>
            </w:tcBorders>
            <w:vAlign w:val="bottom"/>
          </w:tcPr>
          <w:p w:rsidR="00A85B64" w:rsidRPr="00A85B64" w:rsidRDefault="00A85B64" w:rsidP="00A85B64">
            <w:pPr>
              <w:widowControl/>
              <w:adjustRightInd w:val="0"/>
              <w:ind w:right="10"/>
              <w:jc w:val="right"/>
              <w:rPr>
                <w:rFonts w:eastAsiaTheme="minorHAnsi"/>
                <w:color w:val="000000"/>
                <w:sz w:val="20"/>
                <w:szCs w:val="20"/>
                <w:lang w:val="id-ID"/>
              </w:rPr>
            </w:pPr>
            <w:r w:rsidRPr="00A85B64">
              <w:rPr>
                <w:rFonts w:eastAsiaTheme="minorHAnsi"/>
                <w:color w:val="000000"/>
                <w:sz w:val="20"/>
                <w:szCs w:val="20"/>
                <w:lang w:val="id-ID"/>
              </w:rPr>
              <w:t>0.365452</w:t>
            </w:r>
          </w:p>
        </w:tc>
      </w:tr>
      <w:tr w:rsidR="00A85B64" w:rsidRPr="00A85B64" w:rsidTr="00387E94">
        <w:trPr>
          <w:trHeight w:hRule="exact" w:val="70"/>
          <w:jc w:val="center"/>
        </w:trPr>
        <w:tc>
          <w:tcPr>
            <w:tcW w:w="2017" w:type="dxa"/>
            <w:tcBorders>
              <w:top w:val="nil"/>
              <w:left w:val="nil"/>
              <w:bottom w:val="double" w:sz="6" w:space="0"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double" w:sz="6" w:space="0"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double" w:sz="6" w:space="0"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double" w:sz="6" w:space="0"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double" w:sz="6" w:space="0" w:color="auto"/>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r w:rsidR="00A85B64" w:rsidRPr="00A85B64" w:rsidTr="00387E94">
        <w:trPr>
          <w:trHeight w:hRule="exact" w:val="135"/>
          <w:jc w:val="center"/>
        </w:trPr>
        <w:tc>
          <w:tcPr>
            <w:tcW w:w="201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103"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1208"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c>
          <w:tcPr>
            <w:tcW w:w="997" w:type="dxa"/>
            <w:tcBorders>
              <w:top w:val="nil"/>
              <w:left w:val="nil"/>
              <w:bottom w:val="nil"/>
              <w:right w:val="nil"/>
            </w:tcBorders>
            <w:vAlign w:val="bottom"/>
          </w:tcPr>
          <w:p w:rsidR="00A85B64" w:rsidRPr="00A85B64" w:rsidRDefault="00A85B64" w:rsidP="00A85B64">
            <w:pPr>
              <w:widowControl/>
              <w:adjustRightInd w:val="0"/>
              <w:jc w:val="center"/>
              <w:rPr>
                <w:rFonts w:eastAsiaTheme="minorHAnsi"/>
                <w:color w:val="000000"/>
                <w:sz w:val="20"/>
                <w:szCs w:val="20"/>
                <w:lang w:val="id-ID"/>
              </w:rPr>
            </w:pPr>
          </w:p>
        </w:tc>
      </w:tr>
    </w:tbl>
    <w:p w:rsidR="00FB4C2F" w:rsidRDefault="00A85B64">
      <w:pPr>
        <w:pStyle w:val="BodyText"/>
        <w:spacing w:before="2"/>
        <w:ind w:left="0"/>
        <w:rPr>
          <w:rFonts w:ascii="Arial"/>
          <w:sz w:val="12"/>
        </w:rPr>
      </w:pPr>
      <w:r w:rsidRPr="00A85B64">
        <w:rPr>
          <w:rFonts w:ascii="Arial" w:eastAsiaTheme="minorHAnsi" w:hAnsi="Arial" w:cs="Arial"/>
          <w:sz w:val="18"/>
          <w:szCs w:val="18"/>
          <w:lang w:val="id-ID"/>
        </w:rPr>
        <w:br/>
      </w:r>
    </w:p>
    <w:p w:rsidR="00387E94" w:rsidRPr="00387E94" w:rsidRDefault="009B3F02" w:rsidP="00387E94">
      <w:pPr>
        <w:ind w:firstLine="567"/>
        <w:jc w:val="both"/>
        <w:rPr>
          <w:iCs/>
          <w:sz w:val="20"/>
          <w:szCs w:val="20"/>
          <w:lang w:val="id-ID"/>
        </w:rPr>
      </w:pPr>
      <w:r w:rsidRPr="00387E94">
        <w:rPr>
          <w:sz w:val="20"/>
          <w:szCs w:val="20"/>
        </w:rPr>
        <w:t>Model</w:t>
      </w:r>
      <w:r w:rsidRPr="00387E94">
        <w:rPr>
          <w:spacing w:val="-8"/>
          <w:sz w:val="20"/>
          <w:szCs w:val="20"/>
        </w:rPr>
        <w:t xml:space="preserve"> </w:t>
      </w:r>
      <w:r w:rsidRPr="00387E94">
        <w:rPr>
          <w:sz w:val="20"/>
          <w:szCs w:val="20"/>
        </w:rPr>
        <w:t>persamaan</w:t>
      </w:r>
      <w:r w:rsidRPr="00387E94">
        <w:rPr>
          <w:spacing w:val="-13"/>
          <w:sz w:val="20"/>
          <w:szCs w:val="20"/>
        </w:rPr>
        <w:t xml:space="preserve"> </w:t>
      </w:r>
      <w:r w:rsidRPr="00387E94">
        <w:rPr>
          <w:sz w:val="20"/>
          <w:szCs w:val="20"/>
        </w:rPr>
        <w:t>regresi</w:t>
      </w:r>
      <w:r w:rsidRPr="00387E94">
        <w:rPr>
          <w:spacing w:val="-9"/>
          <w:sz w:val="20"/>
          <w:szCs w:val="20"/>
        </w:rPr>
        <w:t xml:space="preserve"> </w:t>
      </w:r>
      <w:r w:rsidRPr="00387E94">
        <w:rPr>
          <w:sz w:val="20"/>
          <w:szCs w:val="20"/>
        </w:rPr>
        <w:t>data</w:t>
      </w:r>
      <w:r w:rsidRPr="00387E94">
        <w:rPr>
          <w:spacing w:val="-6"/>
          <w:sz w:val="20"/>
          <w:szCs w:val="20"/>
        </w:rPr>
        <w:t xml:space="preserve"> </w:t>
      </w:r>
      <w:r w:rsidRPr="00387E94">
        <w:rPr>
          <w:sz w:val="20"/>
          <w:szCs w:val="20"/>
        </w:rPr>
        <w:t>panel</w:t>
      </w:r>
      <w:r w:rsidRPr="00387E94">
        <w:rPr>
          <w:spacing w:val="-5"/>
          <w:sz w:val="20"/>
          <w:szCs w:val="20"/>
        </w:rPr>
        <w:t xml:space="preserve"> </w:t>
      </w:r>
      <w:r w:rsidRPr="00387E94">
        <w:rPr>
          <w:sz w:val="20"/>
          <w:szCs w:val="20"/>
        </w:rPr>
        <w:t>yang</w:t>
      </w:r>
      <w:r w:rsidRPr="00387E94">
        <w:rPr>
          <w:spacing w:val="-9"/>
          <w:sz w:val="20"/>
          <w:szCs w:val="20"/>
        </w:rPr>
        <w:t xml:space="preserve"> </w:t>
      </w:r>
      <w:r w:rsidRPr="00387E94">
        <w:rPr>
          <w:sz w:val="20"/>
          <w:szCs w:val="20"/>
        </w:rPr>
        <w:t>dibentuk</w:t>
      </w:r>
      <w:r w:rsidRPr="00387E94">
        <w:rPr>
          <w:spacing w:val="-11"/>
          <w:sz w:val="20"/>
          <w:szCs w:val="20"/>
        </w:rPr>
        <w:t xml:space="preserve"> </w:t>
      </w:r>
      <w:r w:rsidRPr="00387E94">
        <w:rPr>
          <w:sz w:val="20"/>
          <w:szCs w:val="20"/>
        </w:rPr>
        <w:t>dalam</w:t>
      </w:r>
      <w:r w:rsidRPr="00387E94">
        <w:rPr>
          <w:spacing w:val="-12"/>
          <w:sz w:val="20"/>
          <w:szCs w:val="20"/>
        </w:rPr>
        <w:t xml:space="preserve"> </w:t>
      </w:r>
      <w:r w:rsidRPr="00387E94">
        <w:rPr>
          <w:sz w:val="20"/>
          <w:szCs w:val="20"/>
        </w:rPr>
        <w:t>penelitian</w:t>
      </w:r>
      <w:r w:rsidRPr="00387E94">
        <w:rPr>
          <w:spacing w:val="-11"/>
          <w:sz w:val="20"/>
          <w:szCs w:val="20"/>
        </w:rPr>
        <w:t xml:space="preserve"> </w:t>
      </w:r>
      <w:r w:rsidRPr="00387E94">
        <w:rPr>
          <w:sz w:val="20"/>
          <w:szCs w:val="20"/>
        </w:rPr>
        <w:t>ini</w:t>
      </w:r>
      <w:r w:rsidRPr="00387E94">
        <w:rPr>
          <w:spacing w:val="-4"/>
          <w:sz w:val="20"/>
          <w:szCs w:val="20"/>
        </w:rPr>
        <w:t xml:space="preserve"> </w:t>
      </w:r>
      <w:r w:rsidRPr="00387E94">
        <w:rPr>
          <w:sz w:val="20"/>
          <w:szCs w:val="20"/>
        </w:rPr>
        <w:t>merupakan</w:t>
      </w:r>
      <w:r w:rsidRPr="00387E94">
        <w:rPr>
          <w:spacing w:val="-8"/>
          <w:sz w:val="20"/>
          <w:szCs w:val="20"/>
        </w:rPr>
        <w:t xml:space="preserve"> </w:t>
      </w:r>
      <w:r w:rsidRPr="00387E94">
        <w:rPr>
          <w:sz w:val="20"/>
          <w:szCs w:val="20"/>
        </w:rPr>
        <w:t>model</w:t>
      </w:r>
      <w:r w:rsidRPr="00387E94">
        <w:rPr>
          <w:spacing w:val="1"/>
          <w:sz w:val="20"/>
          <w:szCs w:val="20"/>
        </w:rPr>
        <w:t xml:space="preserve"> </w:t>
      </w:r>
      <w:r w:rsidRPr="00387E94">
        <w:rPr>
          <w:i/>
          <w:sz w:val="20"/>
          <w:szCs w:val="20"/>
        </w:rPr>
        <w:t>Random</w:t>
      </w:r>
      <w:r w:rsidRPr="00387E94">
        <w:rPr>
          <w:i/>
          <w:spacing w:val="-12"/>
          <w:sz w:val="20"/>
          <w:szCs w:val="20"/>
        </w:rPr>
        <w:t xml:space="preserve"> </w:t>
      </w:r>
      <w:r w:rsidRPr="00387E94">
        <w:rPr>
          <w:i/>
          <w:sz w:val="20"/>
          <w:szCs w:val="20"/>
        </w:rPr>
        <w:t xml:space="preserve">Effect. </w:t>
      </w:r>
      <w:r w:rsidRPr="00387E94">
        <w:rPr>
          <w:sz w:val="20"/>
          <w:szCs w:val="20"/>
        </w:rPr>
        <w:t>Berdasarkan tabel 5 dapat diketahui nilai konstanta koefisien sehingga dapat dibentuk dalam persamaan regresi data panel sebagai berikut</w:t>
      </w:r>
      <w:r w:rsidRPr="00387E94">
        <w:rPr>
          <w:spacing w:val="-27"/>
          <w:sz w:val="20"/>
          <w:szCs w:val="20"/>
        </w:rPr>
        <w:t xml:space="preserve"> </w:t>
      </w:r>
      <w:r w:rsidRPr="00387E94">
        <w:rPr>
          <w:sz w:val="20"/>
          <w:szCs w:val="20"/>
        </w:rPr>
        <w:t>:</w:t>
      </w:r>
      <w:r w:rsidR="00387E94" w:rsidRPr="00387E94">
        <w:rPr>
          <w:iCs/>
          <w:sz w:val="20"/>
          <w:szCs w:val="20"/>
        </w:rPr>
        <w:t xml:space="preserve"> </w:t>
      </w:r>
    </w:p>
    <w:p w:rsidR="00387E94" w:rsidRPr="00387E94" w:rsidRDefault="00387E94" w:rsidP="00387E94">
      <w:pPr>
        <w:ind w:firstLine="720"/>
        <w:jc w:val="both"/>
        <w:rPr>
          <w:rFonts w:eastAsiaTheme="minorEastAsia"/>
          <w:sz w:val="20"/>
          <w:szCs w:val="20"/>
        </w:rPr>
      </w:pPr>
      <m:oMathPara>
        <m:oMath>
          <m:r>
            <w:rPr>
              <w:rFonts w:ascii="Cambria Math" w:hAnsi="Cambria Math"/>
              <w:sz w:val="20"/>
              <w:szCs w:val="20"/>
            </w:rPr>
            <m:t>Y= 2,820634-32,61906</m:t>
          </m:r>
          <m:r>
            <w:rPr>
              <w:rFonts w:ascii="Cambria Math" w:eastAsiaTheme="minorEastAsia" w:hAnsi="Cambria Math"/>
              <w:sz w:val="20"/>
              <w:szCs w:val="20"/>
            </w:rPr>
            <m:t>+</m:t>
          </m:r>
          <m:r>
            <w:rPr>
              <w:rFonts w:ascii="Cambria Math" w:hAnsi="Cambria Math"/>
              <w:sz w:val="20"/>
              <w:szCs w:val="20"/>
            </w:rPr>
            <m:t>10,94652</m:t>
          </m:r>
        </m:oMath>
      </m:oMathPara>
    </w:p>
    <w:p w:rsidR="00387E94" w:rsidRPr="00387E94" w:rsidRDefault="00387E94" w:rsidP="00387E94">
      <w:pPr>
        <w:ind w:firstLine="567"/>
        <w:jc w:val="both"/>
        <w:rPr>
          <w:rFonts w:eastAsiaTheme="minorEastAsia"/>
          <w:sz w:val="20"/>
          <w:szCs w:val="20"/>
        </w:rPr>
      </w:pPr>
      <w:r w:rsidRPr="00387E94">
        <w:rPr>
          <w:rFonts w:eastAsiaTheme="minorEastAsia"/>
          <w:sz w:val="20"/>
          <w:szCs w:val="20"/>
        </w:rPr>
        <w:t xml:space="preserve">Dari persamaan regresi linear berganda tersebut dijelaskan bahwa pengaruh BI </w:t>
      </w:r>
      <w:r w:rsidRPr="00387E94">
        <w:rPr>
          <w:rFonts w:eastAsiaTheme="minorEastAsia"/>
          <w:i/>
          <w:sz w:val="20"/>
          <w:szCs w:val="20"/>
        </w:rPr>
        <w:t>rate</w:t>
      </w:r>
      <m:oMath>
        <m:r>
          <w:rPr>
            <w:rFonts w:ascii="Cambria Math" w:eastAsiaTheme="minorEastAsia" w:hAnsi="Cambria Math"/>
            <w:sz w:val="20"/>
            <w:szCs w:val="20"/>
          </w:rPr>
          <m:t>v(</m:t>
        </m:r>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X</m:t>
            </m:r>
          </m:e>
          <m:sub>
            <m:r>
              <m:rPr>
                <m:sty m:val="p"/>
              </m:rPr>
              <w:rPr>
                <w:rFonts w:ascii="Cambria Math" w:eastAsiaTheme="minorEastAsia" w:hAnsi="Cambria Math"/>
                <w:sz w:val="20"/>
                <w:szCs w:val="20"/>
              </w:rPr>
              <m:t>1</m:t>
            </m:r>
          </m:sub>
        </m:sSub>
        <m:r>
          <w:rPr>
            <w:rFonts w:ascii="Cambria Math" w:eastAsiaTheme="minorEastAsia" w:hAnsi="Cambria Math"/>
            <w:sz w:val="20"/>
            <w:szCs w:val="20"/>
          </w:rPr>
          <m:t>)</m:t>
        </m:r>
      </m:oMath>
      <w:r w:rsidRPr="00387E94">
        <w:rPr>
          <w:rFonts w:eastAsiaTheme="minorEastAsia"/>
          <w:sz w:val="20"/>
          <w:szCs w:val="20"/>
        </w:rPr>
        <w:t xml:space="preserve"> dan inflasi</w:t>
      </w:r>
      <m:oMath>
        <m:r>
          <w:rPr>
            <w:rFonts w:ascii="Cambria Math" w:eastAsiaTheme="minorEastAsia" w:hAnsi="Cambria Math"/>
            <w:sz w:val="20"/>
            <w:szCs w:val="20"/>
          </w:rPr>
          <m:t xml:space="preserve"> (</m:t>
        </m:r>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X</m:t>
            </m:r>
          </m:e>
          <m:sub>
            <m:r>
              <m:rPr>
                <m:sty m:val="p"/>
              </m:rPr>
              <w:rPr>
                <w:rFonts w:ascii="Cambria Math" w:eastAsiaTheme="minorEastAsia" w:hAnsi="Cambria Math"/>
                <w:sz w:val="20"/>
                <w:szCs w:val="20"/>
              </w:rPr>
              <m:t>2</m:t>
            </m:r>
          </m:sub>
        </m:sSub>
        <m:r>
          <w:rPr>
            <w:rFonts w:ascii="Cambria Math" w:eastAsiaTheme="minorEastAsia" w:hAnsi="Cambria Math"/>
            <w:sz w:val="20"/>
            <w:szCs w:val="20"/>
          </w:rPr>
          <m:t>)</m:t>
        </m:r>
      </m:oMath>
      <w:r w:rsidRPr="00387E94">
        <w:rPr>
          <w:rFonts w:eastAsiaTheme="minorEastAsia"/>
          <w:sz w:val="20"/>
          <w:szCs w:val="20"/>
        </w:rPr>
        <w:t xml:space="preserve"> sebagai e bebas terhadap profitabilitas (ROA) (Y) sebagai variable terikat.</w:t>
      </w:r>
    </w:p>
    <w:p w:rsidR="00387E94" w:rsidRPr="00387E94" w:rsidRDefault="00387E94" w:rsidP="00387E94">
      <w:pPr>
        <w:pStyle w:val="ListParagraph"/>
        <w:widowControl/>
        <w:numPr>
          <w:ilvl w:val="0"/>
          <w:numId w:val="4"/>
        </w:numPr>
        <w:autoSpaceDE/>
        <w:autoSpaceDN/>
        <w:ind w:left="993" w:hanging="284"/>
        <w:contextualSpacing/>
        <w:jc w:val="both"/>
        <w:rPr>
          <w:iCs/>
          <w:sz w:val="20"/>
          <w:szCs w:val="20"/>
        </w:rPr>
      </w:pPr>
      <w:r w:rsidRPr="00387E94">
        <w:rPr>
          <w:iCs/>
          <w:sz w:val="20"/>
          <w:szCs w:val="20"/>
        </w:rPr>
        <w:lastRenderedPageBreak/>
        <w:t xml:space="preserve">Konstanta sebesar 2,820634 bertanda positif menyatakan bahwa jika konsumen tidak mempertimbangkan BI </w:t>
      </w:r>
      <w:r w:rsidRPr="00387E94">
        <w:rPr>
          <w:i/>
          <w:iCs/>
          <w:sz w:val="20"/>
          <w:szCs w:val="20"/>
        </w:rPr>
        <w:t xml:space="preserve">Rate </w:t>
      </w:r>
      <w:r w:rsidRPr="00387E94">
        <w:rPr>
          <w:iCs/>
          <w:sz w:val="20"/>
          <w:szCs w:val="20"/>
        </w:rPr>
        <w:t>dan Inflasi. Dan hal tersebut akan memberikan pengaruh positif terhadap profitabilitas (ROA) sebesar 2,820634.</w:t>
      </w:r>
    </w:p>
    <w:p w:rsidR="00387E94" w:rsidRPr="00387E94" w:rsidRDefault="00387E94" w:rsidP="00387E94">
      <w:pPr>
        <w:pStyle w:val="ListParagraph"/>
        <w:widowControl/>
        <w:numPr>
          <w:ilvl w:val="0"/>
          <w:numId w:val="4"/>
        </w:numPr>
        <w:autoSpaceDE/>
        <w:autoSpaceDN/>
        <w:ind w:left="993" w:hanging="284"/>
        <w:contextualSpacing/>
        <w:jc w:val="both"/>
        <w:rPr>
          <w:iCs/>
          <w:sz w:val="20"/>
          <w:szCs w:val="20"/>
        </w:rPr>
      </w:pPr>
      <w:r w:rsidRPr="00387E94">
        <w:rPr>
          <w:iCs/>
          <w:sz w:val="20"/>
          <w:szCs w:val="20"/>
        </w:rPr>
        <w:t xml:space="preserve">Koefisien regresi untuk BI </w:t>
      </w:r>
      <w:r w:rsidRPr="00387E94">
        <w:rPr>
          <w:i/>
          <w:iCs/>
          <w:sz w:val="20"/>
          <w:szCs w:val="20"/>
        </w:rPr>
        <w:t>rate</w:t>
      </w:r>
      <w:r w:rsidRPr="00387E94">
        <w:rPr>
          <w:iCs/>
          <w:sz w:val="20"/>
          <w:szCs w:val="20"/>
        </w:rPr>
        <w:t xml:space="preserve"> sebesar </w:t>
      </w:r>
      <w:r w:rsidRPr="00387E94">
        <w:rPr>
          <w:color w:val="000000"/>
          <w:sz w:val="20"/>
          <w:szCs w:val="20"/>
        </w:rPr>
        <w:t>-32,61906</w:t>
      </w:r>
      <w:r w:rsidRPr="00387E94">
        <w:rPr>
          <w:iCs/>
          <w:sz w:val="20"/>
          <w:szCs w:val="20"/>
        </w:rPr>
        <w:t xml:space="preserve"> menyatakan bahwa jika ada peningkatan setiap 1% BI </w:t>
      </w:r>
      <w:r w:rsidRPr="00387E94">
        <w:rPr>
          <w:i/>
          <w:iCs/>
          <w:sz w:val="20"/>
          <w:szCs w:val="20"/>
        </w:rPr>
        <w:t>rate</w:t>
      </w:r>
      <w:r w:rsidRPr="00387E94">
        <w:rPr>
          <w:iCs/>
          <w:sz w:val="20"/>
          <w:szCs w:val="20"/>
        </w:rPr>
        <w:t xml:space="preserve">, maka profitabilitas (ROA) akan menurun sebesar </w:t>
      </w:r>
      <w:r w:rsidRPr="00387E94">
        <w:rPr>
          <w:color w:val="000000"/>
          <w:sz w:val="20"/>
          <w:szCs w:val="20"/>
        </w:rPr>
        <w:t>32,61906</w:t>
      </w:r>
      <w:r w:rsidRPr="00387E94">
        <w:rPr>
          <w:iCs/>
          <w:sz w:val="20"/>
          <w:szCs w:val="20"/>
        </w:rPr>
        <w:t>.</w:t>
      </w:r>
    </w:p>
    <w:p w:rsidR="00FB4C2F" w:rsidRPr="00A97128" w:rsidRDefault="00387E94" w:rsidP="00387E94">
      <w:pPr>
        <w:pStyle w:val="ListParagraph"/>
        <w:widowControl/>
        <w:numPr>
          <w:ilvl w:val="0"/>
          <w:numId w:val="4"/>
        </w:numPr>
        <w:autoSpaceDE/>
        <w:autoSpaceDN/>
        <w:ind w:left="993" w:hanging="284"/>
        <w:contextualSpacing/>
        <w:jc w:val="both"/>
        <w:rPr>
          <w:iCs/>
          <w:sz w:val="24"/>
          <w:szCs w:val="24"/>
        </w:rPr>
      </w:pPr>
      <w:r w:rsidRPr="00387E94">
        <w:rPr>
          <w:iCs/>
          <w:sz w:val="20"/>
          <w:szCs w:val="20"/>
        </w:rPr>
        <w:t xml:space="preserve">Koefisien untuk Inflasi sebesar </w:t>
      </w:r>
      <w:r w:rsidRPr="00387E94">
        <w:rPr>
          <w:color w:val="000000"/>
          <w:sz w:val="20"/>
          <w:szCs w:val="20"/>
        </w:rPr>
        <w:t>10,94652</w:t>
      </w:r>
      <w:r w:rsidRPr="00387E94">
        <w:rPr>
          <w:iCs/>
          <w:sz w:val="20"/>
          <w:szCs w:val="20"/>
        </w:rPr>
        <w:t xml:space="preserve"> menyatakan bahwa jika ada peningkatan setia 1%, maka profitabilitas (ROA) akan meningkat sebesar </w:t>
      </w:r>
      <w:r w:rsidRPr="00387E94">
        <w:rPr>
          <w:color w:val="000000"/>
          <w:sz w:val="20"/>
          <w:szCs w:val="20"/>
        </w:rPr>
        <w:t>10,94652</w:t>
      </w:r>
      <w:r w:rsidRPr="00387E94">
        <w:rPr>
          <w:iCs/>
          <w:sz w:val="20"/>
          <w:szCs w:val="20"/>
        </w:rPr>
        <w:t>.</w:t>
      </w:r>
    </w:p>
    <w:p w:rsidR="00A97128" w:rsidRDefault="00A97128" w:rsidP="00A97128">
      <w:pPr>
        <w:pStyle w:val="ListParagraph"/>
        <w:widowControl/>
        <w:autoSpaceDE/>
        <w:autoSpaceDN/>
        <w:ind w:left="993" w:firstLine="0"/>
        <w:contextualSpacing/>
        <w:jc w:val="both"/>
        <w:rPr>
          <w:iCs/>
          <w:sz w:val="20"/>
          <w:szCs w:val="20"/>
          <w:lang w:val="id-ID"/>
        </w:rPr>
      </w:pPr>
    </w:p>
    <w:p w:rsidR="00A97128" w:rsidRDefault="00A97128" w:rsidP="00A97128">
      <w:pPr>
        <w:pStyle w:val="Heading2"/>
        <w:spacing w:before="132"/>
        <w:ind w:left="454"/>
      </w:pPr>
      <w:r>
        <w:t>Uji-T (Parsial)</w:t>
      </w:r>
    </w:p>
    <w:p w:rsidR="00A97128" w:rsidRDefault="00A97128" w:rsidP="00A97128">
      <w:pPr>
        <w:pStyle w:val="BodyText"/>
        <w:spacing w:before="101"/>
        <w:ind w:left="588" w:right="152" w:firstLine="280"/>
        <w:jc w:val="both"/>
      </w:pPr>
      <w:r>
        <w:t>Uji-T (parsial) dilakukan untuk mengetahui signifikan atau tidak signifikan pengaruh satu variabel independen (X) secara parsial terhadap variabel dependen (Y). Ketentuan pengambilan keputusan pada Uji- T (parsial) sebagai berikut:</w:t>
      </w:r>
    </w:p>
    <w:p w:rsidR="00A97128" w:rsidRDefault="00A97128" w:rsidP="00A97128">
      <w:pPr>
        <w:pStyle w:val="BodyText"/>
        <w:spacing w:before="2" w:line="230" w:lineRule="auto"/>
        <w:ind w:left="869" w:right="799"/>
        <w:rPr>
          <w:lang w:val="id-ID"/>
        </w:rPr>
      </w:pPr>
      <w:r>
        <w:t>H</w:t>
      </w:r>
      <w:r>
        <w:rPr>
          <w:vertAlign w:val="subscript"/>
        </w:rPr>
        <w:t>0</w:t>
      </w:r>
      <w:r>
        <w:t xml:space="preserve"> : variabel independen secara parsial berpengaruh signifikan terhadap variabel dependen.</w:t>
      </w:r>
    </w:p>
    <w:p w:rsidR="00A97128" w:rsidRDefault="00A97128" w:rsidP="00A97128">
      <w:pPr>
        <w:pStyle w:val="BodyText"/>
        <w:spacing w:before="2" w:line="230" w:lineRule="auto"/>
        <w:ind w:left="869" w:right="799"/>
      </w:pPr>
      <w:r>
        <w:t xml:space="preserve"> H</w:t>
      </w:r>
      <w:r>
        <w:rPr>
          <w:vertAlign w:val="subscript"/>
        </w:rPr>
        <w:t>1</w:t>
      </w:r>
      <w:r>
        <w:t xml:space="preserve"> : variabel independen secara parsial</w:t>
      </w:r>
      <w:r>
        <w:rPr>
          <w:lang w:val="id-ID"/>
        </w:rPr>
        <w:t xml:space="preserve"> tidak</w:t>
      </w:r>
      <w:r>
        <w:t xml:space="preserve"> berpengaruh signifikan terhadap variabel dependen.</w:t>
      </w:r>
    </w:p>
    <w:p w:rsidR="00A97128" w:rsidRDefault="00A97128" w:rsidP="00A97128">
      <w:pPr>
        <w:pStyle w:val="BodyText"/>
        <w:ind w:left="588" w:right="152" w:firstLine="280"/>
        <w:jc w:val="both"/>
      </w:pPr>
      <w:r>
        <w:t xml:space="preserve">Jika nilai probabilitas (p-value) masing-masing variabel independen ≥ 0,05 </w:t>
      </w:r>
      <w:r>
        <w:rPr>
          <w:spacing w:val="-3"/>
        </w:rPr>
        <w:t xml:space="preserve">maka </w:t>
      </w:r>
      <w:r>
        <w:t>H</w:t>
      </w:r>
      <w:r>
        <w:rPr>
          <w:vertAlign w:val="subscript"/>
        </w:rPr>
        <w:t>0</w:t>
      </w:r>
      <w:r>
        <w:t xml:space="preserve"> d</w:t>
      </w:r>
      <w:r>
        <w:rPr>
          <w:lang w:val="id-ID"/>
        </w:rPr>
        <w:t>itolak</w:t>
      </w:r>
      <w:r>
        <w:t xml:space="preserve"> yang berarti variabel independen secara parsial tidak berpengaruh signifikan terhadap variabel dependen. Namun jika nilai probabilitas (p-value) masing-masing variabel independen &lt; 0,05 maka H</w:t>
      </w:r>
      <w:r>
        <w:rPr>
          <w:vertAlign w:val="subscript"/>
          <w:lang w:val="id-ID"/>
        </w:rPr>
        <w:t>0</w:t>
      </w:r>
      <w:r>
        <w:t xml:space="preserve"> dit</w:t>
      </w:r>
      <w:r>
        <w:rPr>
          <w:lang w:val="id-ID"/>
        </w:rPr>
        <w:t>erima</w:t>
      </w:r>
      <w:r>
        <w:t xml:space="preserve"> yang berarti variabel independen secara parsial berpengaruh signifikan ter</w:t>
      </w:r>
      <w:r w:rsidR="00A65B6D">
        <w:t xml:space="preserve">hadap variabel dependen. Tabel </w:t>
      </w:r>
      <w:r w:rsidR="00A65B6D">
        <w:rPr>
          <w:lang w:val="id-ID"/>
        </w:rPr>
        <w:t>5</w:t>
      </w:r>
      <w:r>
        <w:t xml:space="preserve"> berikut merupakan hasil dari Uji-T (parsial)</w:t>
      </w:r>
      <w:r>
        <w:rPr>
          <w:spacing w:val="-20"/>
        </w:rPr>
        <w:t xml:space="preserve"> </w:t>
      </w:r>
      <w:r>
        <w:t>:</w:t>
      </w:r>
    </w:p>
    <w:p w:rsidR="00A97128" w:rsidRDefault="00A65B6D" w:rsidP="00A97128">
      <w:pPr>
        <w:pStyle w:val="BodyText"/>
        <w:spacing w:after="37" w:line="230" w:lineRule="exact"/>
        <w:ind w:left="595"/>
      </w:pPr>
      <w:r>
        <w:t xml:space="preserve">Tabel </w:t>
      </w:r>
      <w:r>
        <w:rPr>
          <w:lang w:val="id-ID"/>
        </w:rPr>
        <w:t>5</w:t>
      </w:r>
      <w:r w:rsidR="00A97128">
        <w:t xml:space="preserve"> Uji-T</w:t>
      </w:r>
    </w:p>
    <w:tbl>
      <w:tblPr>
        <w:tblStyle w:val="TableGrid"/>
        <w:tblW w:w="0" w:type="auto"/>
        <w:jc w:val="center"/>
        <w:tblInd w:w="61" w:type="dxa"/>
        <w:tblLook w:val="04A0"/>
      </w:tblPr>
      <w:tblGrid>
        <w:gridCol w:w="1355"/>
        <w:gridCol w:w="1514"/>
        <w:gridCol w:w="1421"/>
        <w:gridCol w:w="1369"/>
        <w:gridCol w:w="1116"/>
        <w:gridCol w:w="1317"/>
      </w:tblGrid>
      <w:tr w:rsidR="00A97128" w:rsidTr="00A65B6D">
        <w:trPr>
          <w:jc w:val="center"/>
        </w:trPr>
        <w:tc>
          <w:tcPr>
            <w:tcW w:w="1355" w:type="dxa"/>
            <w:tcBorders>
              <w:top w:val="single" w:sz="4" w:space="0" w:color="auto"/>
              <w:left w:val="single" w:sz="4" w:space="0" w:color="auto"/>
              <w:bottom w:val="single" w:sz="4" w:space="0" w:color="auto"/>
              <w:right w:val="single" w:sz="4" w:space="0" w:color="auto"/>
            </w:tcBorders>
            <w:hideMark/>
          </w:tcPr>
          <w:p w:rsidR="00A97128" w:rsidRPr="003052FB" w:rsidRDefault="00A97128" w:rsidP="00A65B6D">
            <w:pPr>
              <w:spacing w:line="360" w:lineRule="auto"/>
              <w:jc w:val="center"/>
              <w:rPr>
                <w:b/>
                <w:i/>
                <w:iCs/>
                <w:sz w:val="24"/>
                <w:szCs w:val="24"/>
              </w:rPr>
            </w:pPr>
            <w:r w:rsidRPr="003052FB">
              <w:rPr>
                <w:b/>
                <w:i/>
                <w:iCs/>
                <w:sz w:val="24"/>
                <w:szCs w:val="24"/>
              </w:rPr>
              <w:t>Variabel</w:t>
            </w:r>
          </w:p>
        </w:tc>
        <w:tc>
          <w:tcPr>
            <w:tcW w:w="1514" w:type="dxa"/>
            <w:tcBorders>
              <w:top w:val="single" w:sz="4" w:space="0" w:color="auto"/>
              <w:left w:val="single" w:sz="4" w:space="0" w:color="auto"/>
              <w:bottom w:val="single" w:sz="4" w:space="0" w:color="auto"/>
              <w:right w:val="single" w:sz="4" w:space="0" w:color="auto"/>
            </w:tcBorders>
            <w:hideMark/>
          </w:tcPr>
          <w:p w:rsidR="00A97128" w:rsidRPr="003052FB" w:rsidRDefault="00A97128" w:rsidP="00A65B6D">
            <w:pPr>
              <w:spacing w:line="360" w:lineRule="auto"/>
              <w:jc w:val="center"/>
              <w:rPr>
                <w:b/>
                <w:i/>
                <w:iCs/>
                <w:sz w:val="24"/>
                <w:szCs w:val="24"/>
              </w:rPr>
            </w:pPr>
            <w:r w:rsidRPr="003052FB">
              <w:rPr>
                <w:b/>
                <w:i/>
                <w:iCs/>
                <w:sz w:val="24"/>
                <w:szCs w:val="24"/>
              </w:rPr>
              <w:t>Coefficient</w:t>
            </w:r>
          </w:p>
        </w:tc>
        <w:tc>
          <w:tcPr>
            <w:tcW w:w="1421" w:type="dxa"/>
            <w:tcBorders>
              <w:top w:val="single" w:sz="4" w:space="0" w:color="auto"/>
              <w:left w:val="single" w:sz="4" w:space="0" w:color="auto"/>
              <w:bottom w:val="single" w:sz="4" w:space="0" w:color="auto"/>
              <w:right w:val="single" w:sz="4" w:space="0" w:color="auto"/>
            </w:tcBorders>
            <w:hideMark/>
          </w:tcPr>
          <w:p w:rsidR="00A97128" w:rsidRPr="003052FB" w:rsidRDefault="00A97128" w:rsidP="00A65B6D">
            <w:pPr>
              <w:spacing w:line="360" w:lineRule="auto"/>
              <w:jc w:val="center"/>
              <w:rPr>
                <w:b/>
                <w:i/>
                <w:iCs/>
                <w:sz w:val="24"/>
                <w:szCs w:val="24"/>
              </w:rPr>
            </w:pPr>
            <w:r w:rsidRPr="003052FB">
              <w:rPr>
                <w:b/>
                <w:iCs/>
                <w:sz w:val="24"/>
                <w:szCs w:val="24"/>
              </w:rPr>
              <w:t>T</w:t>
            </w:r>
            <w:r w:rsidRPr="003052FB">
              <w:rPr>
                <w:b/>
                <w:i/>
                <w:iCs/>
                <w:sz w:val="24"/>
                <w:szCs w:val="24"/>
              </w:rPr>
              <w:t xml:space="preserve"> statistic</w:t>
            </w:r>
          </w:p>
        </w:tc>
        <w:tc>
          <w:tcPr>
            <w:tcW w:w="1369" w:type="dxa"/>
            <w:tcBorders>
              <w:top w:val="single" w:sz="4" w:space="0" w:color="auto"/>
              <w:left w:val="single" w:sz="4" w:space="0" w:color="auto"/>
              <w:bottom w:val="single" w:sz="4" w:space="0" w:color="auto"/>
              <w:right w:val="single" w:sz="4" w:space="0" w:color="auto"/>
            </w:tcBorders>
            <w:hideMark/>
          </w:tcPr>
          <w:p w:rsidR="00A97128" w:rsidRPr="003052FB" w:rsidRDefault="00A97128" w:rsidP="00A65B6D">
            <w:pPr>
              <w:spacing w:line="360" w:lineRule="auto"/>
              <w:jc w:val="center"/>
              <w:rPr>
                <w:b/>
                <w:i/>
                <w:iCs/>
                <w:sz w:val="24"/>
                <w:szCs w:val="24"/>
              </w:rPr>
            </w:pPr>
            <w:r w:rsidRPr="003052FB">
              <w:rPr>
                <w:b/>
                <w:iCs/>
                <w:sz w:val="24"/>
                <w:szCs w:val="24"/>
              </w:rPr>
              <w:t>T</w:t>
            </w:r>
            <w:r w:rsidRPr="003052FB">
              <w:rPr>
                <w:b/>
                <w:i/>
                <w:iCs/>
                <w:sz w:val="24"/>
                <w:szCs w:val="24"/>
              </w:rPr>
              <w:t xml:space="preserve"> Table</w:t>
            </w:r>
          </w:p>
        </w:tc>
        <w:tc>
          <w:tcPr>
            <w:tcW w:w="1116" w:type="dxa"/>
            <w:tcBorders>
              <w:top w:val="single" w:sz="4" w:space="0" w:color="auto"/>
              <w:left w:val="single" w:sz="4" w:space="0" w:color="auto"/>
              <w:bottom w:val="single" w:sz="4" w:space="0" w:color="auto"/>
              <w:right w:val="single" w:sz="4" w:space="0" w:color="auto"/>
            </w:tcBorders>
            <w:hideMark/>
          </w:tcPr>
          <w:p w:rsidR="00A97128" w:rsidRDefault="00A97128" w:rsidP="00A65B6D">
            <w:pPr>
              <w:spacing w:line="360" w:lineRule="auto"/>
              <w:jc w:val="center"/>
              <w:rPr>
                <w:b/>
                <w:iCs/>
                <w:sz w:val="24"/>
                <w:szCs w:val="24"/>
              </w:rPr>
            </w:pPr>
            <w:r>
              <w:rPr>
                <w:b/>
                <w:iCs/>
                <w:sz w:val="24"/>
                <w:szCs w:val="24"/>
              </w:rPr>
              <w:t>R²</w:t>
            </w:r>
          </w:p>
        </w:tc>
        <w:tc>
          <w:tcPr>
            <w:tcW w:w="1317" w:type="dxa"/>
            <w:tcBorders>
              <w:top w:val="single" w:sz="4" w:space="0" w:color="auto"/>
              <w:left w:val="single" w:sz="4" w:space="0" w:color="auto"/>
              <w:bottom w:val="single" w:sz="4" w:space="0" w:color="auto"/>
              <w:right w:val="single" w:sz="4" w:space="0" w:color="auto"/>
            </w:tcBorders>
            <w:hideMark/>
          </w:tcPr>
          <w:p w:rsidR="00A97128" w:rsidRDefault="00A97128" w:rsidP="00A65B6D">
            <w:pPr>
              <w:spacing w:line="360" w:lineRule="auto"/>
              <w:jc w:val="center"/>
              <w:rPr>
                <w:b/>
                <w:iCs/>
                <w:sz w:val="24"/>
                <w:szCs w:val="24"/>
              </w:rPr>
            </w:pPr>
            <w:r>
              <w:rPr>
                <w:b/>
                <w:iCs/>
                <w:sz w:val="24"/>
                <w:szCs w:val="24"/>
              </w:rPr>
              <w:t>Prob</w:t>
            </w:r>
          </w:p>
        </w:tc>
      </w:tr>
      <w:tr w:rsidR="00A97128" w:rsidTr="00A65B6D">
        <w:trPr>
          <w:jc w:val="center"/>
        </w:trPr>
        <w:tc>
          <w:tcPr>
            <w:tcW w:w="1355" w:type="dxa"/>
            <w:tcBorders>
              <w:top w:val="single" w:sz="4" w:space="0" w:color="auto"/>
              <w:left w:val="single" w:sz="4" w:space="0" w:color="auto"/>
              <w:bottom w:val="single" w:sz="4" w:space="0" w:color="auto"/>
              <w:right w:val="single" w:sz="4" w:space="0" w:color="auto"/>
            </w:tcBorders>
            <w:hideMark/>
          </w:tcPr>
          <w:p w:rsidR="00A97128" w:rsidRDefault="00A97128" w:rsidP="00A65B6D">
            <w:pPr>
              <w:spacing w:line="360" w:lineRule="auto"/>
              <w:jc w:val="center"/>
              <w:rPr>
                <w:iCs/>
                <w:sz w:val="24"/>
                <w:szCs w:val="24"/>
              </w:rPr>
            </w:pPr>
            <w:r>
              <w:rPr>
                <w:iCs/>
                <w:sz w:val="24"/>
                <w:szCs w:val="24"/>
              </w:rPr>
              <w:t>X</w:t>
            </w:r>
            <w:r>
              <w:rPr>
                <w:rFonts w:ascii="Cambria Math" w:hAnsi="Cambria Math" w:cs="Cambria Math"/>
                <w:iCs/>
                <w:sz w:val="24"/>
                <w:szCs w:val="24"/>
              </w:rPr>
              <w:t>₁</w:t>
            </w:r>
            <w:r>
              <w:rPr>
                <w:iCs/>
                <w:sz w:val="24"/>
                <w:szCs w:val="24"/>
              </w:rPr>
              <w:t xml:space="preserve"> → Y</w:t>
            </w:r>
          </w:p>
        </w:tc>
        <w:tc>
          <w:tcPr>
            <w:tcW w:w="1514" w:type="dxa"/>
            <w:tcBorders>
              <w:top w:val="single" w:sz="4" w:space="0" w:color="auto"/>
              <w:left w:val="single" w:sz="4" w:space="0" w:color="auto"/>
              <w:bottom w:val="single" w:sz="4" w:space="0" w:color="auto"/>
              <w:right w:val="single" w:sz="4" w:space="0" w:color="auto"/>
            </w:tcBorders>
            <w:hideMark/>
          </w:tcPr>
          <w:p w:rsidR="00A97128" w:rsidRPr="002166F1" w:rsidRDefault="00A97128" w:rsidP="00A65B6D">
            <w:pPr>
              <w:spacing w:line="360" w:lineRule="auto"/>
              <w:jc w:val="center"/>
              <w:rPr>
                <w:iCs/>
                <w:sz w:val="24"/>
                <w:szCs w:val="24"/>
              </w:rPr>
            </w:pPr>
            <w:r w:rsidRPr="002166F1">
              <w:rPr>
                <w:color w:val="000000"/>
                <w:sz w:val="24"/>
                <w:szCs w:val="24"/>
              </w:rPr>
              <w:t>-</w:t>
            </w:r>
            <w:r>
              <w:rPr>
                <w:color w:val="000000"/>
                <w:sz w:val="24"/>
                <w:szCs w:val="24"/>
              </w:rPr>
              <w:t>32.61906</w:t>
            </w:r>
          </w:p>
        </w:tc>
        <w:tc>
          <w:tcPr>
            <w:tcW w:w="1421" w:type="dxa"/>
            <w:tcBorders>
              <w:top w:val="single" w:sz="4" w:space="0" w:color="auto"/>
              <w:left w:val="single" w:sz="4" w:space="0" w:color="auto"/>
              <w:bottom w:val="single" w:sz="4" w:space="0" w:color="auto"/>
              <w:right w:val="single" w:sz="4" w:space="0" w:color="auto"/>
            </w:tcBorders>
            <w:hideMark/>
          </w:tcPr>
          <w:p w:rsidR="00A97128" w:rsidRPr="002166F1" w:rsidRDefault="00A97128" w:rsidP="00A65B6D">
            <w:pPr>
              <w:spacing w:line="360" w:lineRule="auto"/>
              <w:jc w:val="center"/>
              <w:rPr>
                <w:iCs/>
                <w:sz w:val="24"/>
                <w:szCs w:val="24"/>
              </w:rPr>
            </w:pPr>
            <w:r w:rsidRPr="002166F1">
              <w:rPr>
                <w:color w:val="000000"/>
                <w:sz w:val="24"/>
                <w:szCs w:val="24"/>
              </w:rPr>
              <w:t>-</w:t>
            </w:r>
            <w:r>
              <w:rPr>
                <w:color w:val="000000"/>
                <w:sz w:val="24"/>
                <w:szCs w:val="24"/>
              </w:rPr>
              <w:t>4.606488</w:t>
            </w:r>
          </w:p>
        </w:tc>
        <w:tc>
          <w:tcPr>
            <w:tcW w:w="1369" w:type="dxa"/>
            <w:tcBorders>
              <w:top w:val="single" w:sz="4" w:space="0" w:color="auto"/>
              <w:left w:val="single" w:sz="4" w:space="0" w:color="auto"/>
              <w:bottom w:val="single" w:sz="4" w:space="0" w:color="auto"/>
              <w:right w:val="single" w:sz="4" w:space="0" w:color="auto"/>
            </w:tcBorders>
            <w:hideMark/>
          </w:tcPr>
          <w:p w:rsidR="00A97128" w:rsidRPr="009D29CC" w:rsidRDefault="00A97128" w:rsidP="00A65B6D">
            <w:pPr>
              <w:pStyle w:val="Default"/>
              <w:spacing w:line="360" w:lineRule="auto"/>
              <w:jc w:val="center"/>
            </w:pPr>
            <w:r>
              <w:t>1.99125</w:t>
            </w:r>
          </w:p>
        </w:tc>
        <w:tc>
          <w:tcPr>
            <w:tcW w:w="1116" w:type="dxa"/>
            <w:tcBorders>
              <w:top w:val="single" w:sz="4" w:space="0" w:color="auto"/>
              <w:left w:val="single" w:sz="4" w:space="0" w:color="auto"/>
              <w:bottom w:val="single" w:sz="4" w:space="0" w:color="auto"/>
              <w:right w:val="single" w:sz="4" w:space="0" w:color="auto"/>
            </w:tcBorders>
            <w:hideMark/>
          </w:tcPr>
          <w:p w:rsidR="00A97128" w:rsidRPr="002166F1" w:rsidRDefault="00A97128" w:rsidP="00A65B6D">
            <w:pPr>
              <w:spacing w:line="360" w:lineRule="auto"/>
              <w:jc w:val="center"/>
              <w:rPr>
                <w:iCs/>
                <w:sz w:val="24"/>
                <w:szCs w:val="24"/>
              </w:rPr>
            </w:pPr>
            <w:r>
              <w:rPr>
                <w:color w:val="000000"/>
                <w:sz w:val="24"/>
                <w:szCs w:val="24"/>
              </w:rPr>
              <w:t>0.221594</w:t>
            </w:r>
          </w:p>
        </w:tc>
        <w:tc>
          <w:tcPr>
            <w:tcW w:w="1317" w:type="dxa"/>
            <w:tcBorders>
              <w:top w:val="single" w:sz="4" w:space="0" w:color="auto"/>
              <w:left w:val="single" w:sz="4" w:space="0" w:color="auto"/>
              <w:bottom w:val="single" w:sz="4" w:space="0" w:color="auto"/>
              <w:right w:val="single" w:sz="4" w:space="0" w:color="auto"/>
            </w:tcBorders>
            <w:hideMark/>
          </w:tcPr>
          <w:p w:rsidR="00A97128" w:rsidRPr="002166F1" w:rsidRDefault="00A97128" w:rsidP="00A65B6D">
            <w:pPr>
              <w:spacing w:line="360" w:lineRule="auto"/>
              <w:jc w:val="center"/>
              <w:rPr>
                <w:iCs/>
                <w:sz w:val="24"/>
                <w:szCs w:val="24"/>
              </w:rPr>
            </w:pPr>
            <w:r>
              <w:rPr>
                <w:color w:val="000000"/>
                <w:sz w:val="24"/>
                <w:szCs w:val="24"/>
              </w:rPr>
              <w:t>0.0000</w:t>
            </w:r>
          </w:p>
        </w:tc>
      </w:tr>
      <w:tr w:rsidR="00A97128" w:rsidTr="00A65B6D">
        <w:trPr>
          <w:trHeight w:val="212"/>
          <w:jc w:val="center"/>
        </w:trPr>
        <w:tc>
          <w:tcPr>
            <w:tcW w:w="1355" w:type="dxa"/>
            <w:tcBorders>
              <w:top w:val="single" w:sz="4" w:space="0" w:color="auto"/>
              <w:left w:val="single" w:sz="4" w:space="0" w:color="auto"/>
              <w:bottom w:val="single" w:sz="4" w:space="0" w:color="auto"/>
              <w:right w:val="single" w:sz="4" w:space="0" w:color="auto"/>
            </w:tcBorders>
            <w:hideMark/>
          </w:tcPr>
          <w:p w:rsidR="00A97128" w:rsidRDefault="00A97128" w:rsidP="00A65B6D">
            <w:pPr>
              <w:spacing w:line="360" w:lineRule="auto"/>
              <w:jc w:val="center"/>
              <w:rPr>
                <w:iCs/>
                <w:sz w:val="24"/>
                <w:szCs w:val="24"/>
              </w:rPr>
            </w:pPr>
            <w:r>
              <w:rPr>
                <w:iCs/>
                <w:sz w:val="24"/>
                <w:szCs w:val="24"/>
              </w:rPr>
              <w:t>X</w:t>
            </w:r>
            <w:r>
              <w:rPr>
                <w:rFonts w:ascii="Cambria Math" w:hAnsi="Cambria Math" w:cs="Cambria Math"/>
                <w:iCs/>
                <w:sz w:val="24"/>
                <w:szCs w:val="24"/>
              </w:rPr>
              <w:t>₂</w:t>
            </w:r>
            <w:r>
              <w:rPr>
                <w:iCs/>
                <w:sz w:val="24"/>
                <w:szCs w:val="24"/>
              </w:rPr>
              <w:t xml:space="preserve"> → Y</w:t>
            </w:r>
          </w:p>
        </w:tc>
        <w:tc>
          <w:tcPr>
            <w:tcW w:w="1514" w:type="dxa"/>
            <w:tcBorders>
              <w:top w:val="single" w:sz="4" w:space="0" w:color="auto"/>
              <w:left w:val="single" w:sz="4" w:space="0" w:color="auto"/>
              <w:bottom w:val="single" w:sz="4" w:space="0" w:color="auto"/>
              <w:right w:val="single" w:sz="4" w:space="0" w:color="auto"/>
            </w:tcBorders>
            <w:hideMark/>
          </w:tcPr>
          <w:p w:rsidR="00A97128" w:rsidRPr="002166F1" w:rsidRDefault="00A97128" w:rsidP="00A65B6D">
            <w:pPr>
              <w:spacing w:line="360" w:lineRule="auto"/>
              <w:jc w:val="center"/>
              <w:rPr>
                <w:iCs/>
                <w:sz w:val="24"/>
                <w:szCs w:val="24"/>
              </w:rPr>
            </w:pPr>
            <w:r>
              <w:rPr>
                <w:color w:val="000000"/>
                <w:sz w:val="24"/>
                <w:szCs w:val="24"/>
              </w:rPr>
              <w:t>10.94652</w:t>
            </w:r>
          </w:p>
        </w:tc>
        <w:tc>
          <w:tcPr>
            <w:tcW w:w="1421" w:type="dxa"/>
            <w:tcBorders>
              <w:top w:val="single" w:sz="4" w:space="0" w:color="auto"/>
              <w:left w:val="single" w:sz="4" w:space="0" w:color="auto"/>
              <w:bottom w:val="single" w:sz="4" w:space="0" w:color="auto"/>
              <w:right w:val="single" w:sz="4" w:space="0" w:color="auto"/>
            </w:tcBorders>
            <w:hideMark/>
          </w:tcPr>
          <w:p w:rsidR="00A97128" w:rsidRPr="002166F1" w:rsidRDefault="00A97128" w:rsidP="00A65B6D">
            <w:pPr>
              <w:spacing w:line="360" w:lineRule="auto"/>
              <w:jc w:val="center"/>
              <w:rPr>
                <w:iCs/>
                <w:sz w:val="24"/>
                <w:szCs w:val="24"/>
              </w:rPr>
            </w:pPr>
            <w:r>
              <w:rPr>
                <w:color w:val="000000"/>
                <w:sz w:val="24"/>
                <w:szCs w:val="24"/>
              </w:rPr>
              <w:t>2.804593</w:t>
            </w:r>
          </w:p>
        </w:tc>
        <w:tc>
          <w:tcPr>
            <w:tcW w:w="1369" w:type="dxa"/>
            <w:tcBorders>
              <w:top w:val="single" w:sz="4" w:space="0" w:color="auto"/>
              <w:left w:val="single" w:sz="4" w:space="0" w:color="auto"/>
              <w:bottom w:val="single" w:sz="4" w:space="0" w:color="auto"/>
              <w:right w:val="single" w:sz="4" w:space="0" w:color="auto"/>
            </w:tcBorders>
            <w:hideMark/>
          </w:tcPr>
          <w:p w:rsidR="00A97128" w:rsidRPr="009D29CC" w:rsidRDefault="00A97128" w:rsidP="00A65B6D">
            <w:pPr>
              <w:pStyle w:val="Default"/>
              <w:spacing w:line="360" w:lineRule="auto"/>
              <w:jc w:val="center"/>
            </w:pPr>
            <w:r>
              <w:t>1.99125</w:t>
            </w:r>
          </w:p>
        </w:tc>
        <w:tc>
          <w:tcPr>
            <w:tcW w:w="1116" w:type="dxa"/>
            <w:tcBorders>
              <w:top w:val="single" w:sz="4" w:space="0" w:color="auto"/>
              <w:left w:val="single" w:sz="4" w:space="0" w:color="auto"/>
              <w:bottom w:val="single" w:sz="4" w:space="0" w:color="auto"/>
              <w:right w:val="single" w:sz="4" w:space="0" w:color="auto"/>
            </w:tcBorders>
            <w:hideMark/>
          </w:tcPr>
          <w:p w:rsidR="00A97128" w:rsidRPr="002166F1" w:rsidRDefault="00A97128" w:rsidP="00A65B6D">
            <w:pPr>
              <w:spacing w:line="360" w:lineRule="auto"/>
              <w:jc w:val="center"/>
              <w:rPr>
                <w:iCs/>
                <w:sz w:val="24"/>
                <w:szCs w:val="24"/>
              </w:rPr>
            </w:pPr>
            <w:r>
              <w:rPr>
                <w:color w:val="000000"/>
                <w:sz w:val="24"/>
                <w:szCs w:val="24"/>
              </w:rPr>
              <w:t>0.221594</w:t>
            </w:r>
          </w:p>
        </w:tc>
        <w:tc>
          <w:tcPr>
            <w:tcW w:w="1317" w:type="dxa"/>
            <w:tcBorders>
              <w:top w:val="single" w:sz="4" w:space="0" w:color="auto"/>
              <w:left w:val="single" w:sz="4" w:space="0" w:color="auto"/>
              <w:bottom w:val="single" w:sz="4" w:space="0" w:color="auto"/>
              <w:right w:val="single" w:sz="4" w:space="0" w:color="auto"/>
            </w:tcBorders>
            <w:hideMark/>
          </w:tcPr>
          <w:p w:rsidR="00A97128" w:rsidRPr="002166F1" w:rsidRDefault="00A97128" w:rsidP="00A65B6D">
            <w:pPr>
              <w:spacing w:line="360" w:lineRule="auto"/>
              <w:jc w:val="center"/>
              <w:rPr>
                <w:iCs/>
                <w:sz w:val="24"/>
                <w:szCs w:val="24"/>
              </w:rPr>
            </w:pPr>
            <w:r>
              <w:rPr>
                <w:color w:val="000000"/>
                <w:sz w:val="24"/>
                <w:szCs w:val="24"/>
              </w:rPr>
              <w:t>0.0064</w:t>
            </w:r>
          </w:p>
        </w:tc>
      </w:tr>
    </w:tbl>
    <w:p w:rsidR="00A97128" w:rsidRDefault="00A97128" w:rsidP="00A97128">
      <w:pPr>
        <w:pStyle w:val="BodyText"/>
        <w:spacing w:before="9"/>
        <w:ind w:left="0"/>
        <w:rPr>
          <w:sz w:val="26"/>
        </w:rPr>
      </w:pPr>
    </w:p>
    <w:p w:rsidR="00A97128" w:rsidRDefault="00A97128" w:rsidP="00A97128">
      <w:pPr>
        <w:pStyle w:val="BodyText"/>
        <w:spacing w:before="1"/>
        <w:ind w:left="869"/>
      </w:pPr>
      <w:r>
        <w:t>Berdasarkan</w:t>
      </w:r>
      <w:r w:rsidR="00A65B6D">
        <w:t xml:space="preserve"> tabel </w:t>
      </w:r>
      <w:r w:rsidR="00A65B6D">
        <w:rPr>
          <w:lang w:val="id-ID"/>
        </w:rPr>
        <w:t>5</w:t>
      </w:r>
      <w:r>
        <w:t xml:space="preserve"> dapat disimpulkan bahwa :</w:t>
      </w:r>
    </w:p>
    <w:p w:rsidR="00A97128" w:rsidRDefault="00A97128" w:rsidP="00A97128">
      <w:pPr>
        <w:pStyle w:val="ListParagraph"/>
        <w:numPr>
          <w:ilvl w:val="2"/>
          <w:numId w:val="3"/>
        </w:numPr>
        <w:tabs>
          <w:tab w:val="left" w:pos="1229"/>
          <w:tab w:val="left" w:pos="1230"/>
        </w:tabs>
        <w:spacing w:before="120"/>
        <w:rPr>
          <w:sz w:val="20"/>
        </w:rPr>
      </w:pPr>
      <w:r>
        <w:rPr>
          <w:sz w:val="20"/>
        </w:rPr>
        <w:t xml:space="preserve">Pengaruh </w:t>
      </w:r>
      <w:r>
        <w:rPr>
          <w:sz w:val="20"/>
          <w:lang w:val="id-ID"/>
        </w:rPr>
        <w:t xml:space="preserve">BI </w:t>
      </w:r>
      <w:r>
        <w:rPr>
          <w:i/>
          <w:sz w:val="20"/>
          <w:lang w:val="id-ID"/>
        </w:rPr>
        <w:t>Rate</w:t>
      </w:r>
      <w:r>
        <w:rPr>
          <w:sz w:val="20"/>
        </w:rPr>
        <w:t xml:space="preserve"> (X1) terhadap</w:t>
      </w:r>
      <w:r>
        <w:rPr>
          <w:sz w:val="20"/>
          <w:lang w:val="id-ID"/>
        </w:rPr>
        <w:t xml:space="preserve"> Profitabilitas (ROA) </w:t>
      </w:r>
      <w:r>
        <w:rPr>
          <w:spacing w:val="-40"/>
          <w:sz w:val="20"/>
        </w:rPr>
        <w:t xml:space="preserve"> </w:t>
      </w:r>
      <w:r>
        <w:rPr>
          <w:sz w:val="20"/>
        </w:rPr>
        <w:t xml:space="preserve">(Y) </w:t>
      </w:r>
      <w:r>
        <w:rPr>
          <w:sz w:val="20"/>
          <w:lang w:val="id-ID"/>
        </w:rPr>
        <w:t>bank swasta devisa.</w:t>
      </w:r>
    </w:p>
    <w:p w:rsidR="00A97128" w:rsidRPr="00A97128" w:rsidRDefault="00A97128" w:rsidP="00A97128">
      <w:pPr>
        <w:pStyle w:val="BodyText"/>
        <w:ind w:left="1229" w:right="168"/>
        <w:jc w:val="both"/>
        <w:rPr>
          <w:lang w:val="id-ID"/>
        </w:rPr>
      </w:pPr>
      <w:r>
        <w:t>Data yang telah diolah telah diperoleh nilai prob.</w:t>
      </w:r>
      <w:r>
        <w:rPr>
          <w:lang w:val="id-ID"/>
        </w:rPr>
        <w:t xml:space="preserve">BI </w:t>
      </w:r>
      <w:r>
        <w:rPr>
          <w:i/>
          <w:lang w:val="id-ID"/>
        </w:rPr>
        <w:t xml:space="preserve">Rate </w:t>
      </w:r>
      <w:r>
        <w:t xml:space="preserve"> 0.</w:t>
      </w:r>
      <w:r>
        <w:rPr>
          <w:lang w:val="id-ID"/>
        </w:rPr>
        <w:t>0000</w:t>
      </w:r>
      <w:r>
        <w:t xml:space="preserve"> </w:t>
      </w:r>
      <w:r>
        <w:rPr>
          <w:lang w:val="id-ID"/>
        </w:rPr>
        <w:t>&lt;</w:t>
      </w:r>
      <w:r>
        <w:t xml:space="preserve"> 0.05 maka H</w:t>
      </w:r>
      <w:r>
        <w:rPr>
          <w:lang w:val="id-ID"/>
        </w:rPr>
        <w:t>1</w:t>
      </w:r>
      <w:r>
        <w:t xml:space="preserve">  diterima, artinya </w:t>
      </w:r>
      <w:r>
        <w:rPr>
          <w:lang w:val="id-ID"/>
        </w:rPr>
        <w:t xml:space="preserve">BI </w:t>
      </w:r>
      <w:r>
        <w:rPr>
          <w:i/>
          <w:lang w:val="id-ID"/>
        </w:rPr>
        <w:t>Rate</w:t>
      </w:r>
      <w:r>
        <w:t xml:space="preserve"> secara parsial</w:t>
      </w:r>
      <w:r>
        <w:rPr>
          <w:lang w:val="id-ID"/>
        </w:rPr>
        <w:t xml:space="preserve"> </w:t>
      </w:r>
      <w:r>
        <w:t xml:space="preserve">berpengaruh secara signifikan terhadap profitabilitas (ROA) </w:t>
      </w:r>
      <w:r>
        <w:rPr>
          <w:lang w:val="id-ID"/>
        </w:rPr>
        <w:t>bank swasta devisa.</w:t>
      </w:r>
    </w:p>
    <w:p w:rsidR="00A97128" w:rsidRDefault="00A97128" w:rsidP="00A97128">
      <w:pPr>
        <w:pStyle w:val="ListParagraph"/>
        <w:numPr>
          <w:ilvl w:val="2"/>
          <w:numId w:val="3"/>
        </w:numPr>
        <w:tabs>
          <w:tab w:val="left" w:pos="1226"/>
          <w:tab w:val="left" w:pos="1227"/>
        </w:tabs>
        <w:spacing w:line="222" w:lineRule="exact"/>
        <w:ind w:left="1226" w:hanging="357"/>
        <w:rPr>
          <w:sz w:val="20"/>
        </w:rPr>
      </w:pPr>
      <w:r>
        <w:rPr>
          <w:sz w:val="20"/>
        </w:rPr>
        <w:t xml:space="preserve">Pengaruh </w:t>
      </w:r>
      <w:r>
        <w:rPr>
          <w:sz w:val="20"/>
          <w:lang w:val="id-ID"/>
        </w:rPr>
        <w:t>Inflasi</w:t>
      </w:r>
      <w:r>
        <w:rPr>
          <w:sz w:val="20"/>
        </w:rPr>
        <w:t xml:space="preserve"> (X2) terhadap</w:t>
      </w:r>
      <w:r>
        <w:rPr>
          <w:sz w:val="20"/>
          <w:lang w:val="id-ID"/>
        </w:rPr>
        <w:t xml:space="preserve"> profitabilitas</w:t>
      </w:r>
      <w:r>
        <w:rPr>
          <w:sz w:val="20"/>
        </w:rPr>
        <w:t xml:space="preserve"> </w:t>
      </w:r>
      <w:r>
        <w:rPr>
          <w:sz w:val="20"/>
          <w:lang w:val="id-ID"/>
        </w:rPr>
        <w:t>(</w:t>
      </w:r>
      <w:r>
        <w:rPr>
          <w:sz w:val="20"/>
        </w:rPr>
        <w:t>ROA</w:t>
      </w:r>
      <w:r>
        <w:rPr>
          <w:sz w:val="20"/>
          <w:lang w:val="id-ID"/>
        </w:rPr>
        <w:t>)</w:t>
      </w:r>
      <w:r>
        <w:rPr>
          <w:sz w:val="20"/>
        </w:rPr>
        <w:t xml:space="preserve"> (Y)</w:t>
      </w:r>
      <w:r>
        <w:rPr>
          <w:spacing w:val="-34"/>
          <w:sz w:val="20"/>
        </w:rPr>
        <w:t xml:space="preserve"> </w:t>
      </w:r>
      <w:r>
        <w:rPr>
          <w:sz w:val="20"/>
          <w:lang w:val="id-ID"/>
        </w:rPr>
        <w:t xml:space="preserve"> bank swasta devisa</w:t>
      </w:r>
    </w:p>
    <w:p w:rsidR="00A97128" w:rsidRPr="00A97128" w:rsidRDefault="00A97128" w:rsidP="00A97128">
      <w:pPr>
        <w:pStyle w:val="BodyText"/>
        <w:ind w:left="1229" w:right="157"/>
        <w:jc w:val="both"/>
        <w:rPr>
          <w:lang w:val="id-ID"/>
        </w:rPr>
      </w:pPr>
      <w:r>
        <w:t>Data yang telah diolah diperoleh nilai prob.</w:t>
      </w:r>
      <w:r>
        <w:rPr>
          <w:lang w:val="id-ID"/>
        </w:rPr>
        <w:t>Inflasi</w:t>
      </w:r>
      <w:r>
        <w:t xml:space="preserve"> 0</w:t>
      </w:r>
      <w:r>
        <w:rPr>
          <w:lang w:val="id-ID"/>
        </w:rPr>
        <w:t>.0064</w:t>
      </w:r>
      <w:r>
        <w:t xml:space="preserve"> </w:t>
      </w:r>
      <w:r>
        <w:rPr>
          <w:lang w:val="id-ID"/>
        </w:rPr>
        <w:t>&lt;</w:t>
      </w:r>
      <w:r>
        <w:t xml:space="preserve"> 0.05 maka H0 diterima, artiny</w:t>
      </w:r>
      <w:r>
        <w:rPr>
          <w:lang w:val="id-ID"/>
        </w:rPr>
        <w:t>a inflasi secara</w:t>
      </w:r>
      <w:r>
        <w:t xml:space="preserve"> parsial berpengaruh secara signifikan terhadap profitabilitas (ROA) </w:t>
      </w:r>
      <w:r>
        <w:rPr>
          <w:spacing w:val="2"/>
          <w:lang w:val="id-ID"/>
        </w:rPr>
        <w:t>bank swasta devisa.</w:t>
      </w:r>
    </w:p>
    <w:p w:rsidR="00A97128" w:rsidRPr="00387E94" w:rsidRDefault="00A97128" w:rsidP="00A97128">
      <w:pPr>
        <w:pStyle w:val="ListParagraph"/>
        <w:widowControl/>
        <w:autoSpaceDE/>
        <w:autoSpaceDN/>
        <w:ind w:left="993" w:firstLine="0"/>
        <w:contextualSpacing/>
        <w:jc w:val="both"/>
        <w:rPr>
          <w:iCs/>
          <w:sz w:val="24"/>
          <w:szCs w:val="24"/>
        </w:rPr>
      </w:pPr>
    </w:p>
    <w:p w:rsidR="00387E94" w:rsidRPr="00387E94" w:rsidRDefault="00387E94" w:rsidP="00387E94">
      <w:pPr>
        <w:pStyle w:val="ListParagraph"/>
        <w:widowControl/>
        <w:autoSpaceDE/>
        <w:autoSpaceDN/>
        <w:ind w:left="993" w:firstLine="0"/>
        <w:contextualSpacing/>
        <w:jc w:val="both"/>
        <w:rPr>
          <w:iCs/>
          <w:sz w:val="24"/>
          <w:szCs w:val="24"/>
        </w:rPr>
      </w:pPr>
    </w:p>
    <w:p w:rsidR="00FB4C2F" w:rsidRDefault="009B3F02" w:rsidP="00387E94">
      <w:pPr>
        <w:pStyle w:val="Heading2"/>
        <w:ind w:left="454"/>
      </w:pPr>
      <w:r>
        <w:t>Uji-F (Simultan)</w:t>
      </w:r>
    </w:p>
    <w:p w:rsidR="00FB4C2F" w:rsidRDefault="009B3F02" w:rsidP="00387E94">
      <w:pPr>
        <w:pStyle w:val="BodyText"/>
        <w:ind w:left="725" w:right="164" w:firstLine="143"/>
        <w:jc w:val="both"/>
      </w:pPr>
      <w:r>
        <w:t>Uji-F</w:t>
      </w:r>
      <w:r>
        <w:rPr>
          <w:spacing w:val="-7"/>
        </w:rPr>
        <w:t xml:space="preserve"> </w:t>
      </w:r>
      <w:r>
        <w:t>(Simultan)</w:t>
      </w:r>
      <w:r>
        <w:rPr>
          <w:spacing w:val="-8"/>
        </w:rPr>
        <w:t xml:space="preserve"> </w:t>
      </w:r>
      <w:r>
        <w:t>dilakukan</w:t>
      </w:r>
      <w:r>
        <w:rPr>
          <w:spacing w:val="-8"/>
        </w:rPr>
        <w:t xml:space="preserve"> </w:t>
      </w:r>
      <w:r>
        <w:t>untuk</w:t>
      </w:r>
      <w:r>
        <w:rPr>
          <w:spacing w:val="-3"/>
        </w:rPr>
        <w:t xml:space="preserve"> </w:t>
      </w:r>
      <w:r>
        <w:t>menguji</w:t>
      </w:r>
      <w:r>
        <w:rPr>
          <w:spacing w:val="-9"/>
        </w:rPr>
        <w:t xml:space="preserve"> </w:t>
      </w:r>
      <w:r>
        <w:t>apakah</w:t>
      </w:r>
      <w:r>
        <w:rPr>
          <w:spacing w:val="-5"/>
        </w:rPr>
        <w:t xml:space="preserve"> </w:t>
      </w:r>
      <w:r>
        <w:t>variabel</w:t>
      </w:r>
      <w:r>
        <w:rPr>
          <w:spacing w:val="-7"/>
        </w:rPr>
        <w:t xml:space="preserve"> </w:t>
      </w:r>
      <w:r>
        <w:t>independen</w:t>
      </w:r>
      <w:r>
        <w:rPr>
          <w:spacing w:val="-9"/>
        </w:rPr>
        <w:t xml:space="preserve"> </w:t>
      </w:r>
      <w:r>
        <w:t>(X)</w:t>
      </w:r>
      <w:r>
        <w:rPr>
          <w:spacing w:val="-4"/>
        </w:rPr>
        <w:t xml:space="preserve"> </w:t>
      </w:r>
      <w:r>
        <w:t>secara</w:t>
      </w:r>
      <w:r>
        <w:rPr>
          <w:spacing w:val="-4"/>
        </w:rPr>
        <w:t xml:space="preserve"> </w:t>
      </w:r>
      <w:r>
        <w:t>simultan</w:t>
      </w:r>
      <w:r>
        <w:rPr>
          <w:spacing w:val="-13"/>
        </w:rPr>
        <w:t xml:space="preserve"> </w:t>
      </w:r>
      <w:r>
        <w:t>atau</w:t>
      </w:r>
      <w:r>
        <w:rPr>
          <w:spacing w:val="-13"/>
        </w:rPr>
        <w:t xml:space="preserve"> </w:t>
      </w:r>
      <w:r>
        <w:t>bersama- sama memiliki pengaruh signifikan terhadap variabel dependen (Y). Ketentuan pengambilan keputusan pada Uji-F (Simultan) sebagai berikut</w:t>
      </w:r>
      <w:r>
        <w:rPr>
          <w:spacing w:val="-24"/>
        </w:rPr>
        <w:t xml:space="preserve"> </w:t>
      </w:r>
      <w:r>
        <w:t>:</w:t>
      </w:r>
    </w:p>
    <w:p w:rsidR="00FB4C2F" w:rsidRDefault="009B3F02">
      <w:pPr>
        <w:pStyle w:val="BodyText"/>
        <w:spacing w:before="127" w:line="228" w:lineRule="auto"/>
        <w:ind w:left="1241"/>
      </w:pPr>
      <w:r>
        <w:t>H</w:t>
      </w:r>
      <w:r>
        <w:rPr>
          <w:vertAlign w:val="subscript"/>
        </w:rPr>
        <w:t>0</w:t>
      </w:r>
      <w:r>
        <w:t xml:space="preserve"> : β</w:t>
      </w:r>
      <w:r>
        <w:rPr>
          <w:vertAlign w:val="subscript"/>
        </w:rPr>
        <w:t>1</w:t>
      </w:r>
      <w:r>
        <w:t>= β</w:t>
      </w:r>
      <w:r>
        <w:rPr>
          <w:vertAlign w:val="subscript"/>
        </w:rPr>
        <w:t>2</w:t>
      </w:r>
      <w:r>
        <w:t xml:space="preserve">= 0, artinya variabel independen secara </w:t>
      </w:r>
      <w:r w:rsidR="00A97128">
        <w:t>bersama-sama</w:t>
      </w:r>
      <w:r>
        <w:t xml:space="preserve"> berpengaruh signifikan terhadap variabel dependen</w:t>
      </w:r>
    </w:p>
    <w:p w:rsidR="00FB4C2F" w:rsidRDefault="009B3F02">
      <w:pPr>
        <w:pStyle w:val="BodyText"/>
        <w:spacing w:before="124" w:line="228" w:lineRule="auto"/>
        <w:ind w:left="1241"/>
      </w:pPr>
      <w:r>
        <w:t>H</w:t>
      </w:r>
      <w:r>
        <w:rPr>
          <w:vertAlign w:val="subscript"/>
        </w:rPr>
        <w:t>1</w:t>
      </w:r>
      <w:r>
        <w:t xml:space="preserve"> : minimal salah satu β ≠ 0, artinya variabel independen secara bersama-sama</w:t>
      </w:r>
      <w:r w:rsidR="00A97128">
        <w:rPr>
          <w:lang w:val="id-ID"/>
        </w:rPr>
        <w:t xml:space="preserve"> tidak</w:t>
      </w:r>
      <w:r>
        <w:t xml:space="preserve"> berpengaruh signifikan terhadap variabel dependen</w:t>
      </w:r>
    </w:p>
    <w:p w:rsidR="00FB4C2F" w:rsidRDefault="009B3F02">
      <w:pPr>
        <w:pStyle w:val="BodyText"/>
        <w:spacing w:before="123" w:line="230" w:lineRule="auto"/>
        <w:ind w:left="725" w:right="156" w:firstLine="566"/>
        <w:jc w:val="both"/>
      </w:pPr>
      <w:r>
        <w:t>Jika nilai Prob. (F-</w:t>
      </w:r>
      <w:r>
        <w:rPr>
          <w:i/>
        </w:rPr>
        <w:t>statistic</w:t>
      </w:r>
      <w:r>
        <w:t xml:space="preserve">) ≥ 0,05 (taraf signifikansi </w:t>
      </w:r>
      <w:r w:rsidR="00F54898">
        <w:t>5%) maka H0 di</w:t>
      </w:r>
      <w:r w:rsidR="00F54898">
        <w:rPr>
          <w:lang w:val="id-ID"/>
        </w:rPr>
        <w:t>tol</w:t>
      </w:r>
      <w:r>
        <w:t>a</w:t>
      </w:r>
      <w:r w:rsidR="00F54898">
        <w:rPr>
          <w:lang w:val="id-ID"/>
        </w:rPr>
        <w:t>k</w:t>
      </w:r>
      <w:r>
        <w:t xml:space="preserve"> yang berarti variabel inde</w:t>
      </w:r>
      <w:r w:rsidR="00A97128">
        <w:t>penden secara bersama-sama</w:t>
      </w:r>
      <w:r>
        <w:t xml:space="preserve"> </w:t>
      </w:r>
      <w:r w:rsidR="00F54898">
        <w:rPr>
          <w:lang w:val="id-ID"/>
        </w:rPr>
        <w:t xml:space="preserve">tidak </w:t>
      </w:r>
      <w:r>
        <w:t>berpengaruh signifikan terhadap variabel dependen. Namun jika nilai Prob. (F-</w:t>
      </w:r>
      <w:r>
        <w:rPr>
          <w:i/>
        </w:rPr>
        <w:t>statistic</w:t>
      </w:r>
      <w:r>
        <w:t>) &lt; 0,05 maka H</w:t>
      </w:r>
      <w:r>
        <w:rPr>
          <w:vertAlign w:val="subscript"/>
        </w:rPr>
        <w:t>0</w:t>
      </w:r>
      <w:r w:rsidR="00F54898">
        <w:t xml:space="preserve"> dit</w:t>
      </w:r>
      <w:r w:rsidR="00F54898">
        <w:rPr>
          <w:lang w:val="id-ID"/>
        </w:rPr>
        <w:t>erima</w:t>
      </w:r>
      <w:r>
        <w:t xml:space="preserve"> yang berarti variabel independen secara bersama-sama berpengaruh signifikan terhadap variabel dependen. Tabel 6 berikut merupakan hasil dari Uji-F:</w:t>
      </w:r>
    </w:p>
    <w:p w:rsidR="00FB4C2F" w:rsidRDefault="00FB4C2F">
      <w:pPr>
        <w:spacing w:line="230" w:lineRule="auto"/>
        <w:jc w:val="both"/>
        <w:sectPr w:rsidR="00FB4C2F">
          <w:headerReference w:type="default" r:id="rId16"/>
          <w:pgSz w:w="11930" w:h="16850"/>
          <w:pgMar w:top="1300" w:right="1220" w:bottom="280" w:left="1260" w:header="533" w:footer="0" w:gutter="0"/>
          <w:cols w:space="720"/>
        </w:sectPr>
      </w:pPr>
    </w:p>
    <w:p w:rsidR="00FB4C2F" w:rsidRDefault="00FB4C2F">
      <w:pPr>
        <w:pStyle w:val="BodyText"/>
        <w:spacing w:before="2"/>
        <w:ind w:left="0"/>
        <w:rPr>
          <w:sz w:val="29"/>
        </w:rPr>
      </w:pPr>
    </w:p>
    <w:p w:rsidR="00FB4C2F" w:rsidRDefault="009B3F02">
      <w:pPr>
        <w:pStyle w:val="BodyText"/>
        <w:spacing w:before="91"/>
        <w:ind w:left="725"/>
      </w:pPr>
      <w:r>
        <w:t>Tabel 6 Uji-F</w:t>
      </w:r>
    </w:p>
    <w:tbl>
      <w:tblPr>
        <w:tblStyle w:val="TableGrid"/>
        <w:tblW w:w="3006" w:type="pct"/>
        <w:tblInd w:w="2093" w:type="dxa"/>
        <w:tblLook w:val="04A0"/>
      </w:tblPr>
      <w:tblGrid>
        <w:gridCol w:w="2739"/>
        <w:gridCol w:w="3072"/>
      </w:tblGrid>
      <w:tr w:rsidR="00F54898" w:rsidTr="00F54898">
        <w:tc>
          <w:tcPr>
            <w:tcW w:w="2357"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b/>
                <w:iCs/>
                <w:sz w:val="20"/>
                <w:szCs w:val="20"/>
              </w:rPr>
            </w:pPr>
            <w:r w:rsidRPr="00F54898">
              <w:rPr>
                <w:b/>
                <w:iCs/>
                <w:sz w:val="20"/>
                <w:szCs w:val="20"/>
              </w:rPr>
              <w:t>F tabel</w:t>
            </w:r>
          </w:p>
        </w:tc>
        <w:tc>
          <w:tcPr>
            <w:tcW w:w="2643"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iCs/>
                <w:sz w:val="20"/>
                <w:szCs w:val="20"/>
              </w:rPr>
            </w:pPr>
            <w:r w:rsidRPr="00F54898">
              <w:rPr>
                <w:iCs/>
                <w:sz w:val="20"/>
                <w:szCs w:val="20"/>
              </w:rPr>
              <w:t>3,11</w:t>
            </w:r>
          </w:p>
        </w:tc>
      </w:tr>
      <w:tr w:rsidR="00F54898" w:rsidTr="00F54898">
        <w:trPr>
          <w:trHeight w:val="440"/>
        </w:trPr>
        <w:tc>
          <w:tcPr>
            <w:tcW w:w="2357"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b/>
                <w:iCs/>
                <w:sz w:val="20"/>
                <w:szCs w:val="20"/>
                <w:vertAlign w:val="superscript"/>
              </w:rPr>
            </w:pPr>
            <w:r w:rsidRPr="00F54898">
              <w:rPr>
                <w:b/>
                <w:iCs/>
                <w:sz w:val="20"/>
                <w:szCs w:val="20"/>
              </w:rPr>
              <w:t>F- statistic</w:t>
            </w:r>
          </w:p>
        </w:tc>
        <w:tc>
          <w:tcPr>
            <w:tcW w:w="2643"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iCs/>
                <w:sz w:val="20"/>
                <w:szCs w:val="20"/>
              </w:rPr>
            </w:pPr>
            <w:r w:rsidRPr="00F54898">
              <w:rPr>
                <w:color w:val="000000"/>
                <w:sz w:val="20"/>
                <w:szCs w:val="20"/>
              </w:rPr>
              <w:t>10.96006</w:t>
            </w:r>
          </w:p>
        </w:tc>
      </w:tr>
      <w:tr w:rsidR="00F54898" w:rsidTr="00F54898">
        <w:trPr>
          <w:trHeight w:val="305"/>
        </w:trPr>
        <w:tc>
          <w:tcPr>
            <w:tcW w:w="2357"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b/>
                <w:iCs/>
                <w:sz w:val="20"/>
                <w:szCs w:val="20"/>
              </w:rPr>
            </w:pPr>
            <w:r w:rsidRPr="00F54898">
              <w:rPr>
                <w:b/>
                <w:iCs/>
                <w:sz w:val="20"/>
                <w:szCs w:val="20"/>
              </w:rPr>
              <w:t>Prob (F-statistic)</w:t>
            </w:r>
          </w:p>
        </w:tc>
        <w:tc>
          <w:tcPr>
            <w:tcW w:w="2643"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iCs/>
                <w:sz w:val="20"/>
                <w:szCs w:val="20"/>
              </w:rPr>
            </w:pPr>
            <w:r w:rsidRPr="00F54898">
              <w:rPr>
                <w:color w:val="000000"/>
                <w:sz w:val="20"/>
                <w:szCs w:val="20"/>
              </w:rPr>
              <w:t>0.000065</w:t>
            </w:r>
          </w:p>
        </w:tc>
      </w:tr>
      <w:tr w:rsidR="00F54898" w:rsidTr="00F54898">
        <w:trPr>
          <w:trHeight w:val="305"/>
        </w:trPr>
        <w:tc>
          <w:tcPr>
            <w:tcW w:w="2357"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b/>
                <w:iCs/>
                <w:sz w:val="20"/>
                <w:szCs w:val="20"/>
              </w:rPr>
            </w:pPr>
            <w:r w:rsidRPr="00F54898">
              <w:rPr>
                <w:b/>
                <w:iCs/>
                <w:sz w:val="20"/>
                <w:szCs w:val="20"/>
              </w:rPr>
              <w:t>R Square</w:t>
            </w:r>
          </w:p>
        </w:tc>
        <w:tc>
          <w:tcPr>
            <w:tcW w:w="2643"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color w:val="000000"/>
                <w:sz w:val="20"/>
                <w:szCs w:val="20"/>
              </w:rPr>
            </w:pPr>
            <w:r w:rsidRPr="00F54898">
              <w:rPr>
                <w:color w:val="000000"/>
                <w:sz w:val="20"/>
                <w:szCs w:val="20"/>
              </w:rPr>
              <w:t>0,221594</w:t>
            </w:r>
          </w:p>
        </w:tc>
      </w:tr>
      <w:tr w:rsidR="00F54898" w:rsidTr="00F54898">
        <w:trPr>
          <w:trHeight w:val="305"/>
        </w:trPr>
        <w:tc>
          <w:tcPr>
            <w:tcW w:w="2357"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b/>
                <w:iCs/>
                <w:sz w:val="20"/>
                <w:szCs w:val="20"/>
              </w:rPr>
            </w:pPr>
            <w:r w:rsidRPr="00F54898">
              <w:rPr>
                <w:b/>
                <w:iCs/>
                <w:sz w:val="20"/>
                <w:szCs w:val="20"/>
              </w:rPr>
              <w:t>Adjusted R Squere</w:t>
            </w:r>
          </w:p>
        </w:tc>
        <w:tc>
          <w:tcPr>
            <w:tcW w:w="2643"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color w:val="000000"/>
                <w:sz w:val="20"/>
                <w:szCs w:val="20"/>
              </w:rPr>
            </w:pPr>
            <w:r w:rsidRPr="00F54898">
              <w:rPr>
                <w:color w:val="000000"/>
                <w:sz w:val="20"/>
                <w:szCs w:val="20"/>
              </w:rPr>
              <w:t>0,201376</w:t>
            </w:r>
          </w:p>
        </w:tc>
      </w:tr>
      <w:tr w:rsidR="00F54898" w:rsidTr="00F54898">
        <w:trPr>
          <w:trHeight w:val="305"/>
        </w:trPr>
        <w:tc>
          <w:tcPr>
            <w:tcW w:w="2357"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b/>
                <w:iCs/>
                <w:sz w:val="20"/>
                <w:szCs w:val="20"/>
              </w:rPr>
            </w:pPr>
            <w:r w:rsidRPr="00F54898">
              <w:rPr>
                <w:b/>
                <w:iCs/>
                <w:sz w:val="20"/>
                <w:szCs w:val="20"/>
              </w:rPr>
              <w:t>S.E of Regression</w:t>
            </w:r>
          </w:p>
        </w:tc>
        <w:tc>
          <w:tcPr>
            <w:tcW w:w="2643" w:type="pct"/>
            <w:tcBorders>
              <w:top w:val="single" w:sz="4" w:space="0" w:color="auto"/>
              <w:left w:val="single" w:sz="4" w:space="0" w:color="auto"/>
              <w:bottom w:val="single" w:sz="4" w:space="0" w:color="auto"/>
              <w:right w:val="single" w:sz="4" w:space="0" w:color="auto"/>
            </w:tcBorders>
            <w:vAlign w:val="center"/>
            <w:hideMark/>
          </w:tcPr>
          <w:p w:rsidR="00F54898" w:rsidRPr="00F54898" w:rsidRDefault="00F54898" w:rsidP="00F54898">
            <w:pPr>
              <w:jc w:val="center"/>
              <w:rPr>
                <w:color w:val="000000"/>
                <w:sz w:val="20"/>
                <w:szCs w:val="20"/>
              </w:rPr>
            </w:pPr>
            <w:r w:rsidRPr="00F54898">
              <w:rPr>
                <w:color w:val="000000"/>
                <w:sz w:val="20"/>
                <w:szCs w:val="20"/>
              </w:rPr>
              <w:t>0,321339</w:t>
            </w:r>
          </w:p>
        </w:tc>
      </w:tr>
    </w:tbl>
    <w:p w:rsidR="00FB4C2F" w:rsidRDefault="00FB4C2F">
      <w:pPr>
        <w:pStyle w:val="BodyText"/>
        <w:spacing w:before="11"/>
        <w:ind w:left="0"/>
        <w:rPr>
          <w:rFonts w:ascii="Arial"/>
          <w:sz w:val="11"/>
        </w:rPr>
      </w:pPr>
    </w:p>
    <w:p w:rsidR="00FB4C2F" w:rsidRDefault="009B3F02">
      <w:pPr>
        <w:pStyle w:val="BodyText"/>
        <w:spacing w:before="81"/>
        <w:ind w:left="588" w:right="149" w:firstLine="280"/>
        <w:jc w:val="both"/>
      </w:pPr>
      <w:r>
        <w:t>Berdasarkan tabel 6 yang telah ditampilkan, diperoleh nilai Prob. (F-</w:t>
      </w:r>
      <w:r>
        <w:rPr>
          <w:i/>
        </w:rPr>
        <w:t>statistic</w:t>
      </w:r>
      <w:r w:rsidR="00F54898">
        <w:t xml:space="preserve">) sebesar </w:t>
      </w:r>
      <w:r w:rsidR="00F54898">
        <w:rPr>
          <w:lang w:val="id-ID"/>
        </w:rPr>
        <w:t>0.000065</w:t>
      </w:r>
      <w:r>
        <w:t>. Hasil tersebut menunjukkan bahwa nilai Prob. (F-</w:t>
      </w:r>
      <w:r>
        <w:rPr>
          <w:i/>
        </w:rPr>
        <w:t>statistic</w:t>
      </w:r>
      <w:r w:rsidR="00F54898">
        <w:t xml:space="preserve">) lebih </w:t>
      </w:r>
      <w:r w:rsidR="00F54898">
        <w:rPr>
          <w:lang w:val="id-ID"/>
        </w:rPr>
        <w:t>kecil</w:t>
      </w:r>
      <w:r>
        <w:t xml:space="preserve"> dari taraf signifikansi (0.000000 &lt; 0.05) yang berarti H</w:t>
      </w:r>
      <w:r>
        <w:rPr>
          <w:vertAlign w:val="subscript"/>
        </w:rPr>
        <w:t>0</w:t>
      </w:r>
      <w:r>
        <w:t xml:space="preserve"> diterima, H</w:t>
      </w:r>
      <w:r>
        <w:rPr>
          <w:vertAlign w:val="subscript"/>
        </w:rPr>
        <w:t>1</w:t>
      </w:r>
      <w:r>
        <w:t xml:space="preserve"> ditolak. Berdasarkan Uji F menunjukkan bahwa se</w:t>
      </w:r>
      <w:r w:rsidR="00F54898">
        <w:t>mua variabel independen (</w:t>
      </w:r>
      <w:r w:rsidR="00F54898">
        <w:rPr>
          <w:lang w:val="id-ID"/>
        </w:rPr>
        <w:t xml:space="preserve">BI </w:t>
      </w:r>
      <w:r w:rsidR="00F54898">
        <w:rPr>
          <w:i/>
          <w:lang w:val="id-ID"/>
        </w:rPr>
        <w:t xml:space="preserve">Rate </w:t>
      </w:r>
      <w:r w:rsidR="00F54898">
        <w:rPr>
          <w:lang w:val="id-ID"/>
        </w:rPr>
        <w:t>dan Inflasi)</w:t>
      </w:r>
      <w:r w:rsidR="00F54898">
        <w:t xml:space="preserve"> secara simultan</w:t>
      </w:r>
      <w:r>
        <w:t xml:space="preserve"> berpengaruh signifikan te</w:t>
      </w:r>
      <w:r w:rsidR="00F54898">
        <w:t xml:space="preserve">rhadap profitabilitas </w:t>
      </w:r>
      <w:r w:rsidR="00F54898">
        <w:rPr>
          <w:lang w:val="id-ID"/>
        </w:rPr>
        <w:t>bank swasta devisa</w:t>
      </w:r>
      <w:r>
        <w:t>.</w:t>
      </w:r>
    </w:p>
    <w:p w:rsidR="00FB4C2F" w:rsidRDefault="009B3F02">
      <w:pPr>
        <w:pStyle w:val="Heading2"/>
        <w:spacing w:before="131"/>
      </w:pPr>
      <w:r>
        <w:t>Koefisien Determinasi</w:t>
      </w:r>
    </w:p>
    <w:p w:rsidR="00FB4C2F" w:rsidRDefault="009B3F02">
      <w:pPr>
        <w:pStyle w:val="BodyText"/>
        <w:spacing w:before="102"/>
        <w:ind w:left="588" w:right="159" w:firstLine="280"/>
        <w:jc w:val="both"/>
      </w:pPr>
      <w:r>
        <w:t xml:space="preserve">Berdasarkan hasil pengolahan data menggunakan model </w:t>
      </w:r>
      <w:r>
        <w:rPr>
          <w:i/>
        </w:rPr>
        <w:t xml:space="preserve">Random Effect </w:t>
      </w:r>
      <w:r>
        <w:t>pada tabel 6 koefisien det</w:t>
      </w:r>
      <w:r w:rsidR="00F54898">
        <w:t>erminasi adalah sebesar 0.</w:t>
      </w:r>
      <w:r w:rsidR="00F54898">
        <w:rPr>
          <w:lang w:val="id-ID"/>
        </w:rPr>
        <w:t>221594</w:t>
      </w:r>
      <w:r w:rsidR="00F54898">
        <w:t xml:space="preserve"> atau sebesar </w:t>
      </w:r>
      <w:r w:rsidR="00F54898">
        <w:rPr>
          <w:lang w:val="id-ID"/>
        </w:rPr>
        <w:t>22.15</w:t>
      </w:r>
      <w:r>
        <w:t>% bahwa</w:t>
      </w:r>
      <w:r w:rsidR="00F54898">
        <w:t xml:space="preserve"> variabel independen </w:t>
      </w:r>
      <w:r w:rsidR="00F54898">
        <w:rPr>
          <w:lang w:val="id-ID"/>
        </w:rPr>
        <w:t>(</w:t>
      </w:r>
      <w:r>
        <w:t>BI</w:t>
      </w:r>
      <w:r w:rsidR="00F54898">
        <w:rPr>
          <w:lang w:val="id-ID"/>
        </w:rPr>
        <w:t xml:space="preserve"> </w:t>
      </w:r>
      <w:r w:rsidR="00F54898">
        <w:rPr>
          <w:i/>
          <w:lang w:val="id-ID"/>
        </w:rPr>
        <w:t>Rate</w:t>
      </w:r>
      <w:r w:rsidR="00F54898">
        <w:rPr>
          <w:lang w:val="id-ID"/>
        </w:rPr>
        <w:t xml:space="preserve"> dan Inflasi)</w:t>
      </w:r>
      <w:r w:rsidR="00F54898">
        <w:t xml:space="preserve"> </w:t>
      </w:r>
      <w:r>
        <w:t xml:space="preserve"> mempengar</w:t>
      </w:r>
      <w:r w:rsidR="00F54898">
        <w:t xml:space="preserve">uhi variabel dependen sebesar </w:t>
      </w:r>
      <w:r w:rsidR="00F54898">
        <w:rPr>
          <w:lang w:val="id-ID"/>
        </w:rPr>
        <w:t>22.15</w:t>
      </w:r>
      <w:r w:rsidR="00A65B6D">
        <w:t xml:space="preserve">% selebihnya </w:t>
      </w:r>
      <w:r w:rsidR="00A65B6D">
        <w:rPr>
          <w:lang w:val="id-ID"/>
        </w:rPr>
        <w:t>77.85</w:t>
      </w:r>
      <w:r>
        <w:t>% lainnya dijelaskan oleh variabel lain yang tidak diteliti dalam penelitian ini.</w:t>
      </w:r>
    </w:p>
    <w:p w:rsidR="00FB4C2F" w:rsidRDefault="009B3F02">
      <w:pPr>
        <w:pStyle w:val="Heading2"/>
        <w:numPr>
          <w:ilvl w:val="0"/>
          <w:numId w:val="3"/>
        </w:numPr>
        <w:tabs>
          <w:tab w:val="left" w:pos="363"/>
        </w:tabs>
        <w:spacing w:before="128"/>
        <w:ind w:left="362" w:hanging="201"/>
      </w:pPr>
      <w:r>
        <w:t>Kesimpulan dan</w:t>
      </w:r>
      <w:r>
        <w:rPr>
          <w:spacing w:val="-14"/>
        </w:rPr>
        <w:t xml:space="preserve"> </w:t>
      </w:r>
      <w:r>
        <w:t>Saran</w:t>
      </w:r>
    </w:p>
    <w:p w:rsidR="00A65B6D" w:rsidRPr="00A65B6D" w:rsidRDefault="00A65B6D" w:rsidP="00A65B6D">
      <w:pPr>
        <w:ind w:firstLine="576"/>
        <w:jc w:val="both"/>
        <w:rPr>
          <w:sz w:val="20"/>
          <w:szCs w:val="20"/>
        </w:rPr>
      </w:pPr>
      <w:r w:rsidRPr="00A65B6D">
        <w:rPr>
          <w:sz w:val="20"/>
          <w:szCs w:val="20"/>
        </w:rPr>
        <w:t>Berdasarkan pada hasil penelitian dan pembahasan pada bab sebelumnya maka dapat disimpulkan sebagai berikut:</w:t>
      </w:r>
    </w:p>
    <w:p w:rsidR="00A65B6D" w:rsidRPr="00A65B6D" w:rsidRDefault="00A65B6D" w:rsidP="00A65B6D">
      <w:pPr>
        <w:pStyle w:val="ListParagraph"/>
        <w:widowControl/>
        <w:numPr>
          <w:ilvl w:val="0"/>
          <w:numId w:val="5"/>
        </w:numPr>
        <w:autoSpaceDE/>
        <w:autoSpaceDN/>
        <w:spacing w:after="200"/>
        <w:ind w:left="993" w:hanging="283"/>
        <w:contextualSpacing/>
        <w:jc w:val="both"/>
        <w:rPr>
          <w:sz w:val="20"/>
          <w:szCs w:val="20"/>
        </w:rPr>
      </w:pPr>
      <w:r w:rsidRPr="00A65B6D">
        <w:rPr>
          <w:sz w:val="20"/>
          <w:szCs w:val="20"/>
        </w:rPr>
        <w:t xml:space="preserve">Perkembangan BI </w:t>
      </w:r>
      <w:r w:rsidRPr="00A65B6D">
        <w:rPr>
          <w:i/>
          <w:sz w:val="20"/>
          <w:szCs w:val="20"/>
        </w:rPr>
        <w:t>Rate</w:t>
      </w:r>
      <w:r w:rsidRPr="00A65B6D">
        <w:rPr>
          <w:sz w:val="20"/>
          <w:szCs w:val="20"/>
        </w:rPr>
        <w:t xml:space="preserve"> dan Inflasi yang terjadi selama periode 2012-2016 mengalami perkembangan yang fluktuatif. </w:t>
      </w:r>
      <w:r w:rsidRPr="00A65B6D">
        <w:rPr>
          <w:color w:val="000000" w:themeColor="text1"/>
          <w:sz w:val="20"/>
          <w:szCs w:val="20"/>
          <w:shd w:val="clear" w:color="auto" w:fill="FFFFFF"/>
        </w:rPr>
        <w:t xml:space="preserve">BI </w:t>
      </w:r>
      <w:r w:rsidRPr="00A65B6D">
        <w:rPr>
          <w:i/>
          <w:color w:val="000000" w:themeColor="text1"/>
          <w:sz w:val="20"/>
          <w:szCs w:val="20"/>
          <w:shd w:val="clear" w:color="auto" w:fill="FFFFFF"/>
        </w:rPr>
        <w:t>Rate</w:t>
      </w:r>
      <w:r w:rsidRPr="00A65B6D">
        <w:rPr>
          <w:color w:val="000000" w:themeColor="text1"/>
          <w:sz w:val="20"/>
          <w:szCs w:val="20"/>
          <w:shd w:val="clear" w:color="auto" w:fill="FFFFFF"/>
        </w:rPr>
        <w:t xml:space="preserve"> tertinggi berada pada tahun 2014 yaitu sebesar 7,54% sedangkan BI </w:t>
      </w:r>
      <w:r w:rsidRPr="00A65B6D">
        <w:rPr>
          <w:i/>
          <w:color w:val="000000" w:themeColor="text1"/>
          <w:sz w:val="20"/>
          <w:szCs w:val="20"/>
          <w:shd w:val="clear" w:color="auto" w:fill="FFFFFF"/>
        </w:rPr>
        <w:t>Rate</w:t>
      </w:r>
      <w:r w:rsidRPr="00A65B6D">
        <w:rPr>
          <w:color w:val="000000" w:themeColor="text1"/>
          <w:sz w:val="20"/>
          <w:szCs w:val="20"/>
          <w:shd w:val="clear" w:color="auto" w:fill="FFFFFF"/>
        </w:rPr>
        <w:t xml:space="preserve"> terendah pada tahun 2012 yaitu sebesar 5,77% dan rata-rata BI </w:t>
      </w:r>
      <w:r w:rsidRPr="00A65B6D">
        <w:rPr>
          <w:i/>
          <w:color w:val="000000" w:themeColor="text1"/>
          <w:sz w:val="20"/>
          <w:szCs w:val="20"/>
          <w:shd w:val="clear" w:color="auto" w:fill="FFFFFF"/>
        </w:rPr>
        <w:t xml:space="preserve">Rate </w:t>
      </w:r>
      <w:r w:rsidRPr="00A65B6D">
        <w:rPr>
          <w:color w:val="000000" w:themeColor="text1"/>
          <w:sz w:val="20"/>
          <w:szCs w:val="20"/>
          <w:shd w:val="clear" w:color="auto" w:fill="FFFFFF"/>
        </w:rPr>
        <w:t xml:space="preserve">periode 2012-2016 sebesar 6,76%. </w:t>
      </w:r>
      <w:r w:rsidRPr="00A65B6D">
        <w:rPr>
          <w:sz w:val="20"/>
          <w:szCs w:val="20"/>
        </w:rPr>
        <w:t xml:space="preserve">Inflasi tertinggi ada pada tahun 2013 yaitu sebesar 6,96% sedangkan inflasi terendah ada pada tahun 2016 yaitu sebesar 3,53% dan rata-rata inflasi periode 2012-2016 sebesar 5,51%. Dan perkembangan profitabilitas ROA yang terjadi selama periode 2012-2016 mengalami perkembangan yang berfluktuatif dimana proofitabilitas ROA tertinggi yaitu mencapai 3.05% pada tahun 2016 yang terdapat pada Bank Central Asia Tbk. Dan yang terendah mencapai 0.11% pada tahun 2016 yang terdapat pada Bank Nusantara Parahyangan Tbk. </w:t>
      </w:r>
    </w:p>
    <w:p w:rsidR="00A65B6D" w:rsidRPr="00A65B6D" w:rsidRDefault="00A65B6D" w:rsidP="00A65B6D">
      <w:pPr>
        <w:pStyle w:val="ListParagraph"/>
        <w:widowControl/>
        <w:numPr>
          <w:ilvl w:val="0"/>
          <w:numId w:val="5"/>
        </w:numPr>
        <w:autoSpaceDE/>
        <w:autoSpaceDN/>
        <w:spacing w:after="200"/>
        <w:ind w:left="993" w:hanging="283"/>
        <w:contextualSpacing/>
        <w:jc w:val="both"/>
        <w:rPr>
          <w:sz w:val="20"/>
          <w:szCs w:val="20"/>
        </w:rPr>
      </w:pPr>
      <w:r w:rsidRPr="00A65B6D">
        <w:rPr>
          <w:sz w:val="20"/>
          <w:szCs w:val="20"/>
        </w:rPr>
        <w:t xml:space="preserve">Pengaruh BI </w:t>
      </w:r>
      <w:r w:rsidRPr="00A65B6D">
        <w:rPr>
          <w:i/>
          <w:sz w:val="20"/>
          <w:szCs w:val="20"/>
        </w:rPr>
        <w:t xml:space="preserve">Rate </w:t>
      </w:r>
      <w:r w:rsidRPr="00A65B6D">
        <w:rPr>
          <w:sz w:val="20"/>
          <w:szCs w:val="20"/>
        </w:rPr>
        <w:t>terhadap profitabilitas (ROA) secara parsial berpengaruh secara signifikan dengan hubungan negatif.</w:t>
      </w:r>
    </w:p>
    <w:p w:rsidR="00A65B6D" w:rsidRPr="00A65B6D" w:rsidRDefault="00A65B6D" w:rsidP="00A65B6D">
      <w:pPr>
        <w:pStyle w:val="ListParagraph"/>
        <w:ind w:left="993"/>
        <w:jc w:val="both"/>
        <w:rPr>
          <w:sz w:val="20"/>
          <w:szCs w:val="20"/>
        </w:rPr>
      </w:pPr>
      <w:r w:rsidRPr="00A65B6D">
        <w:rPr>
          <w:sz w:val="20"/>
          <w:szCs w:val="20"/>
        </w:rPr>
        <w:t>Pengaruh inflasi terhadap profitabilitas (ROA) secara parsial, berpengaruh secara signifikan dengan hubungan positif terhadap profitabilitas (ROA).</w:t>
      </w:r>
    </w:p>
    <w:p w:rsidR="00A65B6D" w:rsidRPr="00A65B6D" w:rsidRDefault="00A65B6D" w:rsidP="00A65B6D">
      <w:pPr>
        <w:pStyle w:val="ListParagraph"/>
        <w:widowControl/>
        <w:numPr>
          <w:ilvl w:val="0"/>
          <w:numId w:val="5"/>
        </w:numPr>
        <w:autoSpaceDE/>
        <w:autoSpaceDN/>
        <w:spacing w:after="200"/>
        <w:ind w:left="993" w:hanging="283"/>
        <w:contextualSpacing/>
        <w:jc w:val="both"/>
        <w:rPr>
          <w:sz w:val="20"/>
          <w:szCs w:val="20"/>
        </w:rPr>
      </w:pPr>
      <w:r w:rsidRPr="00A65B6D">
        <w:rPr>
          <w:sz w:val="20"/>
          <w:szCs w:val="20"/>
        </w:rPr>
        <w:t xml:space="preserve">Hasil analisa dengan menggunakan uji F memperlihatkan pengaruh secara simultan BI </w:t>
      </w:r>
      <w:r w:rsidRPr="00A65B6D">
        <w:rPr>
          <w:i/>
          <w:sz w:val="20"/>
          <w:szCs w:val="20"/>
        </w:rPr>
        <w:t xml:space="preserve">Rate </w:t>
      </w:r>
      <w:r w:rsidRPr="00A65B6D">
        <w:rPr>
          <w:sz w:val="20"/>
          <w:szCs w:val="20"/>
        </w:rPr>
        <w:t xml:space="preserve">dan inflasi terhadap profitabilitas (ROA) yaitu menyatakan bahwa BI </w:t>
      </w:r>
      <w:r w:rsidRPr="00A65B6D">
        <w:rPr>
          <w:i/>
          <w:sz w:val="20"/>
          <w:szCs w:val="20"/>
        </w:rPr>
        <w:t>Rate</w:t>
      </w:r>
      <w:r w:rsidRPr="00A65B6D">
        <w:rPr>
          <w:sz w:val="20"/>
          <w:szCs w:val="20"/>
        </w:rPr>
        <w:t xml:space="preserve"> dan inflasi berpengaruh signifikan  terhadap profitabilitas (ROA).</w:t>
      </w:r>
    </w:p>
    <w:p w:rsidR="00FB4C2F" w:rsidRPr="00A65B6D" w:rsidRDefault="009B3F02" w:rsidP="00A65B6D">
      <w:pPr>
        <w:pStyle w:val="BodyText"/>
        <w:spacing w:before="158"/>
        <w:ind w:left="588" w:right="99" w:firstLine="280"/>
      </w:pPr>
      <w:r>
        <w:t>Berdasarkan hasil penelitian, pembahasan, dan kesimpulan penelitian, maka dapat disarankan beberapa hal sebagai berikut :</w:t>
      </w:r>
    </w:p>
    <w:p w:rsidR="00A65B6D" w:rsidRPr="00A65B6D" w:rsidRDefault="00A65B6D" w:rsidP="00A65B6D">
      <w:pPr>
        <w:pStyle w:val="ListParagraph"/>
        <w:widowControl/>
        <w:numPr>
          <w:ilvl w:val="0"/>
          <w:numId w:val="6"/>
        </w:numPr>
        <w:autoSpaceDE/>
        <w:autoSpaceDN/>
        <w:spacing w:after="200"/>
        <w:ind w:left="993" w:hanging="283"/>
        <w:contextualSpacing/>
        <w:jc w:val="both"/>
        <w:rPr>
          <w:sz w:val="20"/>
          <w:szCs w:val="20"/>
        </w:rPr>
      </w:pPr>
      <w:r w:rsidRPr="00A65B6D">
        <w:rPr>
          <w:sz w:val="20"/>
          <w:szCs w:val="20"/>
        </w:rPr>
        <w:t>Bagi peneliti selanjutnya</w:t>
      </w:r>
    </w:p>
    <w:p w:rsidR="00A65B6D" w:rsidRPr="00A65B6D" w:rsidRDefault="00A65B6D" w:rsidP="00A65B6D">
      <w:pPr>
        <w:pStyle w:val="ListParagraph"/>
        <w:ind w:left="993"/>
        <w:jc w:val="both"/>
        <w:rPr>
          <w:sz w:val="20"/>
          <w:szCs w:val="20"/>
        </w:rPr>
      </w:pPr>
      <w:r w:rsidRPr="00A65B6D">
        <w:rPr>
          <w:sz w:val="20"/>
          <w:szCs w:val="20"/>
        </w:rPr>
        <w:t xml:space="preserve">Diharapkan untuk penulis selanjutnya untuk mengembangkan dan menambah faktor-faktor mikroekonomi dan makroekonomi lain seperti PDB, nilai tukar, NPL, BOPO, NIM, LDR dan lain sebaginya. Atau menjadikan variable BI </w:t>
      </w:r>
      <w:r w:rsidRPr="00A65B6D">
        <w:rPr>
          <w:i/>
          <w:sz w:val="20"/>
          <w:szCs w:val="20"/>
        </w:rPr>
        <w:t>rate</w:t>
      </w:r>
      <w:r w:rsidRPr="00A65B6D">
        <w:rPr>
          <w:sz w:val="20"/>
          <w:szCs w:val="20"/>
        </w:rPr>
        <w:t xml:space="preserve"> sebagai variable intervening untuk dapat berhubungan antara inflasi dan BI </w:t>
      </w:r>
      <w:r w:rsidRPr="00A65B6D">
        <w:rPr>
          <w:i/>
          <w:sz w:val="20"/>
          <w:szCs w:val="20"/>
        </w:rPr>
        <w:t>rate</w:t>
      </w:r>
      <w:r w:rsidRPr="00A65B6D">
        <w:rPr>
          <w:sz w:val="20"/>
          <w:szCs w:val="20"/>
        </w:rPr>
        <w:t xml:space="preserve">. </w:t>
      </w:r>
    </w:p>
    <w:p w:rsidR="00A65B6D" w:rsidRPr="00A65B6D" w:rsidRDefault="00A65B6D" w:rsidP="00A65B6D">
      <w:pPr>
        <w:pStyle w:val="ListParagraph"/>
        <w:widowControl/>
        <w:numPr>
          <w:ilvl w:val="0"/>
          <w:numId w:val="6"/>
        </w:numPr>
        <w:autoSpaceDE/>
        <w:autoSpaceDN/>
        <w:spacing w:after="200"/>
        <w:ind w:left="993" w:hanging="284"/>
        <w:contextualSpacing/>
        <w:jc w:val="both"/>
        <w:rPr>
          <w:sz w:val="20"/>
          <w:szCs w:val="20"/>
        </w:rPr>
      </w:pPr>
      <w:r w:rsidRPr="00A65B6D">
        <w:rPr>
          <w:sz w:val="20"/>
          <w:szCs w:val="20"/>
        </w:rPr>
        <w:t>Bagi Perusahaan</w:t>
      </w:r>
    </w:p>
    <w:p w:rsidR="00A65B6D" w:rsidRPr="00A65B6D" w:rsidRDefault="00A65B6D" w:rsidP="00A65B6D">
      <w:pPr>
        <w:pStyle w:val="ListParagraph"/>
        <w:ind w:left="993"/>
        <w:jc w:val="both"/>
        <w:rPr>
          <w:sz w:val="20"/>
          <w:szCs w:val="20"/>
        </w:rPr>
      </w:pPr>
      <w:r w:rsidRPr="00A65B6D">
        <w:rPr>
          <w:sz w:val="20"/>
          <w:szCs w:val="20"/>
        </w:rPr>
        <w:t xml:space="preserve">Untuk perusahaan bank swasta devisa diharapkan dengan meningkatnya BI Rate dan inflasi bukan menjadi suatu hambatan untuk mendapatkan profit sebesar-besarnya. Saat BI </w:t>
      </w:r>
      <w:r w:rsidRPr="00A65B6D">
        <w:rPr>
          <w:i/>
          <w:sz w:val="20"/>
          <w:szCs w:val="20"/>
        </w:rPr>
        <w:t>rate</w:t>
      </w:r>
      <w:r w:rsidRPr="00A65B6D">
        <w:rPr>
          <w:sz w:val="20"/>
          <w:szCs w:val="20"/>
        </w:rPr>
        <w:t xml:space="preserve"> dan inflasi berada pada tingkat yang cukup tinggi jadikan hal tersebut untuk mendapatkan laba sebasar-besarnya. Apabila inflasi yang terjadi ringan, justru mempunyai pengaruh yang positif dalam arti dapat mendorong perekonomian lebih baik, yaitu meningkatkan pendapatan nasional dan membuat orang bergairah untuk bekerja, menabung dan mengadakan investasi.</w:t>
      </w:r>
    </w:p>
    <w:p w:rsidR="00FB4C2F" w:rsidRDefault="00FB4C2F">
      <w:pPr>
        <w:pStyle w:val="BodyText"/>
        <w:spacing w:before="2"/>
        <w:ind w:left="0"/>
        <w:rPr>
          <w:sz w:val="21"/>
        </w:rPr>
      </w:pPr>
    </w:p>
    <w:p w:rsidR="00FB4C2F" w:rsidRDefault="00FB4C2F">
      <w:pPr>
        <w:pStyle w:val="BodyText"/>
        <w:spacing w:before="5"/>
        <w:ind w:left="0"/>
        <w:rPr>
          <w:i/>
          <w:sz w:val="21"/>
        </w:rPr>
      </w:pPr>
    </w:p>
    <w:p w:rsidR="00FB4C2F" w:rsidRDefault="009B3F02">
      <w:pPr>
        <w:pStyle w:val="Heading2"/>
        <w:spacing w:before="1"/>
        <w:ind w:left="161"/>
      </w:pPr>
      <w:r>
        <w:t>Daftar Pustaka</w:t>
      </w:r>
    </w:p>
    <w:p w:rsidR="00A65B6D" w:rsidRPr="00B26CD5" w:rsidRDefault="00A65B6D" w:rsidP="00A65B6D">
      <w:pPr>
        <w:tabs>
          <w:tab w:val="left" w:pos="1560"/>
          <w:tab w:val="left" w:pos="1800"/>
        </w:tabs>
        <w:rPr>
          <w:lang w:bidi="en-US"/>
        </w:rPr>
      </w:pPr>
      <w:r>
        <w:rPr>
          <w:lang w:bidi="en-US"/>
        </w:rPr>
        <w:tab/>
      </w:r>
    </w:p>
    <w:sdt>
      <w:sdtPr>
        <w:rPr>
          <w:rFonts w:ascii="Times New Roman" w:hAnsi="Times New Roman" w:cs="Times New Roman"/>
          <w:sz w:val="24"/>
          <w:szCs w:val="24"/>
          <w:lang w:val="en-US"/>
        </w:rPr>
        <w:id w:val="111145805"/>
        <w:bibliography/>
      </w:sdtPr>
      <w:sdtEndPr>
        <w:rPr>
          <w:rFonts w:eastAsia="Times New Roman"/>
        </w:rPr>
      </w:sdtEndPr>
      <w:sdtContent>
        <w:p w:rsidR="00A65B6D" w:rsidRPr="00A65B6D" w:rsidRDefault="00A65B6D" w:rsidP="00A65B6D">
          <w:pPr>
            <w:pStyle w:val="Bibliography"/>
            <w:shd w:val="clear" w:color="auto" w:fill="FFFFFF" w:themeFill="background1"/>
            <w:jc w:val="both"/>
            <w:rPr>
              <w:rFonts w:ascii="Times New Roman" w:hAnsi="Times New Roman" w:cs="Times New Roman"/>
              <w:noProof/>
              <w:sz w:val="20"/>
              <w:szCs w:val="20"/>
            </w:rPr>
          </w:pPr>
          <w:r w:rsidRPr="00A65B6D">
            <w:rPr>
              <w:rFonts w:ascii="Times New Roman" w:hAnsi="Times New Roman" w:cs="Times New Roman"/>
              <w:sz w:val="20"/>
              <w:szCs w:val="20"/>
            </w:rPr>
            <w:fldChar w:fldCharType="begin"/>
          </w:r>
          <w:r w:rsidRPr="00A65B6D">
            <w:rPr>
              <w:rFonts w:ascii="Times New Roman" w:hAnsi="Times New Roman" w:cs="Times New Roman"/>
              <w:sz w:val="20"/>
              <w:szCs w:val="20"/>
            </w:rPr>
            <w:instrText xml:space="preserve"> BIBLIOGRAPHY </w:instrText>
          </w:r>
          <w:r w:rsidRPr="00A65B6D">
            <w:rPr>
              <w:rFonts w:ascii="Times New Roman" w:hAnsi="Times New Roman" w:cs="Times New Roman"/>
              <w:sz w:val="20"/>
              <w:szCs w:val="20"/>
            </w:rPr>
            <w:fldChar w:fldCharType="separate"/>
          </w:r>
          <w:r w:rsidRPr="00A65B6D">
            <w:rPr>
              <w:rFonts w:ascii="Times New Roman" w:hAnsi="Times New Roman" w:cs="Times New Roman"/>
              <w:noProof/>
              <w:sz w:val="20"/>
              <w:szCs w:val="20"/>
            </w:rPr>
            <w:t xml:space="preserve">Abdullah. (2013). </w:t>
          </w:r>
          <w:r w:rsidRPr="00A65B6D">
            <w:rPr>
              <w:rFonts w:ascii="Times New Roman" w:hAnsi="Times New Roman" w:cs="Times New Roman"/>
              <w:i/>
              <w:iCs/>
              <w:noProof/>
              <w:sz w:val="20"/>
              <w:szCs w:val="20"/>
            </w:rPr>
            <w:t>Bank dan Lembaga Keuangan.</w:t>
          </w:r>
          <w:r w:rsidRPr="00A65B6D">
            <w:rPr>
              <w:rFonts w:ascii="Times New Roman" w:hAnsi="Times New Roman" w:cs="Times New Roman"/>
              <w:noProof/>
              <w:sz w:val="20"/>
              <w:szCs w:val="20"/>
            </w:rPr>
            <w:t xml:space="preserve"> Jakarta: Rajawali Pers.</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Aditya, M. F., Yunita, I., &amp; Trikartika, T. (2016). Analisis Pengaruh Inflasi, Nilai Tukar, Dan Suku Bunga Bi Terhadap Profitabilitas Perusahaan (Studi Pada Perusahaan Telekomunikasi Yang Terdaftar Di Bei Periode 2010-2014). </w:t>
          </w:r>
          <w:r w:rsidRPr="00A65B6D">
            <w:rPr>
              <w:rFonts w:ascii="Times New Roman" w:hAnsi="Times New Roman" w:cs="Times New Roman"/>
              <w:i/>
              <w:iCs/>
              <w:noProof/>
              <w:sz w:val="20"/>
              <w:szCs w:val="20"/>
            </w:rPr>
            <w:t xml:space="preserve">ISSN : 2355-9357 </w:t>
          </w:r>
          <w:r w:rsidRPr="00A65B6D">
            <w:rPr>
              <w:rFonts w:ascii="Times New Roman" w:hAnsi="Times New Roman" w:cs="Times New Roman"/>
              <w:noProof/>
              <w:sz w:val="20"/>
              <w:szCs w:val="20"/>
            </w:rPr>
            <w:t>, 286-292.</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lastRenderedPageBreak/>
            <w:t xml:space="preserve">Ajija, Rohmatul, S., &amp; dkk. (2011). </w:t>
          </w:r>
          <w:r w:rsidRPr="00A65B6D">
            <w:rPr>
              <w:rFonts w:ascii="Times New Roman" w:hAnsi="Times New Roman" w:cs="Times New Roman"/>
              <w:i/>
              <w:iCs/>
              <w:noProof/>
              <w:sz w:val="20"/>
              <w:szCs w:val="20"/>
            </w:rPr>
            <w:t>Cara Cerdas Menguasai Eviews.</w:t>
          </w:r>
          <w:r w:rsidRPr="00A65B6D">
            <w:rPr>
              <w:rFonts w:ascii="Times New Roman" w:hAnsi="Times New Roman" w:cs="Times New Roman"/>
              <w:noProof/>
              <w:sz w:val="20"/>
              <w:szCs w:val="20"/>
            </w:rPr>
            <w:t xml:space="preserve"> Jakarta: Salemba Empat.</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Anto &amp; Wibowo, M. G. (2012). Faktor-Faktor Penentu Tingkat Profitabilitas Bank Umum Syariah di Indoensia. </w:t>
          </w:r>
          <w:r w:rsidRPr="00A65B6D">
            <w:rPr>
              <w:rFonts w:ascii="Times New Roman" w:hAnsi="Times New Roman" w:cs="Times New Roman"/>
              <w:i/>
              <w:iCs/>
              <w:noProof/>
              <w:sz w:val="20"/>
              <w:szCs w:val="20"/>
            </w:rPr>
            <w:t>Jurnal Ekononomi Islam La Ribaa VI (2)</w:t>
          </w:r>
          <w:r w:rsidRPr="00A65B6D">
            <w:rPr>
              <w:rFonts w:ascii="Times New Roman" w:hAnsi="Times New Roman" w:cs="Times New Roman"/>
              <w:noProof/>
              <w:sz w:val="20"/>
              <w:szCs w:val="20"/>
            </w:rPr>
            <w:t xml:space="preserve"> , 147-160.</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Ariefianto, M. (2010). </w:t>
          </w:r>
          <w:r w:rsidRPr="00A65B6D">
            <w:rPr>
              <w:rFonts w:ascii="Times New Roman" w:hAnsi="Times New Roman" w:cs="Times New Roman"/>
              <w:i/>
              <w:iCs/>
              <w:noProof/>
              <w:sz w:val="20"/>
              <w:szCs w:val="20"/>
            </w:rPr>
            <w:t>EKONOMETRIKA; Esensi danAplikasi dengan Menggunakan EVIEWS.</w:t>
          </w:r>
          <w:r w:rsidRPr="00A65B6D">
            <w:rPr>
              <w:rFonts w:ascii="Times New Roman" w:hAnsi="Times New Roman" w:cs="Times New Roman"/>
              <w:noProof/>
              <w:sz w:val="20"/>
              <w:szCs w:val="20"/>
            </w:rPr>
            <w:t xml:space="preserve"> Jakarta: Erlangga.</w:t>
          </w:r>
        </w:p>
        <w:p w:rsidR="00A65B6D" w:rsidRPr="00A65B6D" w:rsidRDefault="00A65B6D" w:rsidP="00A65B6D">
          <w:pPr>
            <w:pStyle w:val="Bibliography"/>
            <w:shd w:val="clear" w:color="auto" w:fill="FFFFFF" w:themeFill="background1"/>
            <w:ind w:left="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Bank Indonesia. (2001). </w:t>
          </w:r>
          <w:r w:rsidRPr="00A65B6D">
            <w:rPr>
              <w:rFonts w:ascii="Times New Roman" w:hAnsi="Times New Roman" w:cs="Times New Roman"/>
              <w:i/>
              <w:iCs/>
              <w:noProof/>
              <w:sz w:val="20"/>
              <w:szCs w:val="20"/>
            </w:rPr>
            <w:t>Surat Edaran Bank Indonesia Nomor 3/30/DPNP .</w:t>
          </w:r>
          <w:r w:rsidRPr="00A65B6D">
            <w:rPr>
              <w:rFonts w:ascii="Times New Roman" w:hAnsi="Times New Roman" w:cs="Times New Roman"/>
              <w:noProof/>
              <w:sz w:val="20"/>
              <w:szCs w:val="20"/>
            </w:rPr>
            <w:t xml:space="preserve"> </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Bank Indonesia. (2004). </w:t>
          </w:r>
          <w:r w:rsidRPr="00A65B6D">
            <w:rPr>
              <w:rFonts w:ascii="Times New Roman" w:hAnsi="Times New Roman" w:cs="Times New Roman"/>
              <w:i/>
              <w:iCs/>
              <w:noProof/>
              <w:sz w:val="20"/>
              <w:szCs w:val="20"/>
            </w:rPr>
            <w:t>Surat Edaran Nomor 6/23/DNP Perihal Penilaian Tingkat Kesehatan Bank Umum.</w:t>
          </w:r>
          <w:r w:rsidRPr="00A65B6D">
            <w:rPr>
              <w:rFonts w:ascii="Times New Roman" w:hAnsi="Times New Roman" w:cs="Times New Roman"/>
              <w:noProof/>
              <w:sz w:val="20"/>
              <w:szCs w:val="20"/>
            </w:rPr>
            <w:t xml:space="preserve"> </w:t>
          </w:r>
        </w:p>
        <w:p w:rsidR="00A65B6D" w:rsidRPr="00A65B6D" w:rsidRDefault="00A65B6D" w:rsidP="00A65B6D">
          <w:pPr>
            <w:pStyle w:val="Bibliography"/>
            <w:shd w:val="clear" w:color="auto" w:fill="FFFFFF" w:themeFill="background1"/>
            <w:ind w:left="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Dendawijaya, L. (2005). </w:t>
          </w:r>
          <w:r w:rsidRPr="00A65B6D">
            <w:rPr>
              <w:rFonts w:ascii="Times New Roman" w:hAnsi="Times New Roman" w:cs="Times New Roman"/>
              <w:i/>
              <w:iCs/>
              <w:noProof/>
              <w:sz w:val="20"/>
              <w:szCs w:val="20"/>
            </w:rPr>
            <w:t>Manajemen Perbankan.</w:t>
          </w:r>
          <w:r w:rsidRPr="00A65B6D">
            <w:rPr>
              <w:rFonts w:ascii="Times New Roman" w:hAnsi="Times New Roman" w:cs="Times New Roman"/>
              <w:noProof/>
              <w:sz w:val="20"/>
              <w:szCs w:val="20"/>
            </w:rPr>
            <w:t xml:space="preserve"> Jakarta: Ghalia Indonesia.</w:t>
          </w:r>
        </w:p>
        <w:p w:rsidR="00A65B6D" w:rsidRPr="00A65B6D" w:rsidRDefault="00A65B6D" w:rsidP="00A65B6D">
          <w:pPr>
            <w:pStyle w:val="Bibliography"/>
            <w:shd w:val="clear" w:color="auto" w:fill="FFFFFF" w:themeFill="background1"/>
            <w:ind w:left="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Dendawijaya, L. (2009). </w:t>
          </w:r>
          <w:r w:rsidRPr="00A65B6D">
            <w:rPr>
              <w:rFonts w:ascii="Times New Roman" w:hAnsi="Times New Roman" w:cs="Times New Roman"/>
              <w:i/>
              <w:iCs/>
              <w:noProof/>
              <w:sz w:val="20"/>
              <w:szCs w:val="20"/>
            </w:rPr>
            <w:t>Manajemen Perbankan.</w:t>
          </w:r>
          <w:r w:rsidRPr="00A65B6D">
            <w:rPr>
              <w:rFonts w:ascii="Times New Roman" w:hAnsi="Times New Roman" w:cs="Times New Roman"/>
              <w:noProof/>
              <w:sz w:val="20"/>
              <w:szCs w:val="20"/>
            </w:rPr>
            <w:t xml:space="preserve"> Jakarta: Ghalia Indonesia.</w:t>
          </w:r>
        </w:p>
        <w:p w:rsidR="00A65B6D" w:rsidRPr="00A65B6D" w:rsidRDefault="00A65B6D" w:rsidP="00A65B6D">
          <w:pPr>
            <w:pStyle w:val="Bibliography"/>
            <w:shd w:val="clear" w:color="auto" w:fill="FFFFFF" w:themeFill="background1"/>
            <w:ind w:left="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Fahmi, I. (2012). </w:t>
          </w:r>
          <w:r w:rsidRPr="00A65B6D">
            <w:rPr>
              <w:rFonts w:ascii="Times New Roman" w:hAnsi="Times New Roman" w:cs="Times New Roman"/>
              <w:i/>
              <w:iCs/>
              <w:noProof/>
              <w:sz w:val="20"/>
              <w:szCs w:val="20"/>
            </w:rPr>
            <w:t>Analisis Laporan Keuangan Cetakan-2.</w:t>
          </w:r>
          <w:r w:rsidRPr="00A65B6D">
            <w:rPr>
              <w:rFonts w:ascii="Times New Roman" w:hAnsi="Times New Roman" w:cs="Times New Roman"/>
              <w:noProof/>
              <w:sz w:val="20"/>
              <w:szCs w:val="20"/>
            </w:rPr>
            <w:t xml:space="preserve"> Bandung: Alfabeta.</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Fathoni, A. B. (2017). Pengaruh Inflasi, Suku Bunga Dan Bopo Terhadap Roa Perbankan (Studi Pada Bank Umum Persero Periode 2013-2015). </w:t>
          </w:r>
          <w:r w:rsidRPr="00A65B6D">
            <w:rPr>
              <w:rFonts w:ascii="Times New Roman" w:hAnsi="Times New Roman" w:cs="Times New Roman"/>
              <w:i/>
              <w:iCs/>
              <w:noProof/>
              <w:sz w:val="20"/>
              <w:szCs w:val="20"/>
            </w:rPr>
            <w:t>Jurnal Bisnis dan Manajemen</w:t>
          </w:r>
          <w:r w:rsidRPr="00A65B6D">
            <w:rPr>
              <w:rFonts w:ascii="Times New Roman" w:hAnsi="Times New Roman" w:cs="Times New Roman"/>
              <w:noProof/>
              <w:sz w:val="20"/>
              <w:szCs w:val="20"/>
            </w:rPr>
            <w:t xml:space="preserve"> , 1-11.</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Fess, W. R. (2005). </w:t>
          </w:r>
          <w:r w:rsidRPr="00A65B6D">
            <w:rPr>
              <w:rFonts w:ascii="Times New Roman" w:hAnsi="Times New Roman" w:cs="Times New Roman"/>
              <w:i/>
              <w:iCs/>
              <w:noProof/>
              <w:sz w:val="20"/>
              <w:szCs w:val="20"/>
            </w:rPr>
            <w:t>Accounting principal, alih bahasa Aria Farahmita, Amanugrahani dan Taufik Hendrawan, Pengantar akuntansi.</w:t>
          </w:r>
          <w:r w:rsidRPr="00A65B6D">
            <w:rPr>
              <w:rFonts w:ascii="Times New Roman" w:hAnsi="Times New Roman" w:cs="Times New Roman"/>
              <w:noProof/>
              <w:sz w:val="20"/>
              <w:szCs w:val="20"/>
            </w:rPr>
            <w:t xml:space="preserve"> Jakarta: Salemba Empat.</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Firdaus, R., &amp; Ariyanti, M. (2011). </w:t>
          </w:r>
          <w:r w:rsidRPr="00A65B6D">
            <w:rPr>
              <w:rFonts w:ascii="Times New Roman" w:hAnsi="Times New Roman" w:cs="Times New Roman"/>
              <w:i/>
              <w:iCs/>
              <w:noProof/>
              <w:sz w:val="20"/>
              <w:szCs w:val="20"/>
            </w:rPr>
            <w:t>Pengantar Teori Moneter serta Aplikasinya.</w:t>
          </w:r>
          <w:r w:rsidRPr="00A65B6D">
            <w:rPr>
              <w:rFonts w:ascii="Times New Roman" w:hAnsi="Times New Roman" w:cs="Times New Roman"/>
              <w:noProof/>
              <w:sz w:val="20"/>
              <w:szCs w:val="20"/>
            </w:rPr>
            <w:t xml:space="preserve"> Bandung: Rajawali Pers.</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Gitman, L. J., &amp; Zutter, C. J. (2012). </w:t>
          </w:r>
          <w:r w:rsidRPr="00A65B6D">
            <w:rPr>
              <w:rFonts w:ascii="Times New Roman" w:hAnsi="Times New Roman" w:cs="Times New Roman"/>
              <w:i/>
              <w:iCs/>
              <w:noProof/>
              <w:sz w:val="20"/>
              <w:szCs w:val="20"/>
            </w:rPr>
            <w:t>Principles of Managerial Finance 13th Edition.</w:t>
          </w:r>
          <w:r w:rsidRPr="00A65B6D">
            <w:rPr>
              <w:rFonts w:ascii="Times New Roman" w:hAnsi="Times New Roman" w:cs="Times New Roman"/>
              <w:noProof/>
              <w:sz w:val="20"/>
              <w:szCs w:val="20"/>
            </w:rPr>
            <w:t xml:space="preserve"> Global Edition: Pearson Education Limited.</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Gujarati, D. (2003). </w:t>
          </w:r>
          <w:r w:rsidRPr="00A65B6D">
            <w:rPr>
              <w:rFonts w:ascii="Times New Roman" w:hAnsi="Times New Roman" w:cs="Times New Roman"/>
              <w:i/>
              <w:iCs/>
              <w:noProof/>
              <w:sz w:val="20"/>
              <w:szCs w:val="20"/>
            </w:rPr>
            <w:t>Ekonometri Dasar. Terjemahan: Sumarno Zain.</w:t>
          </w:r>
          <w:r w:rsidRPr="00A65B6D">
            <w:rPr>
              <w:rFonts w:ascii="Times New Roman" w:hAnsi="Times New Roman" w:cs="Times New Roman"/>
              <w:noProof/>
              <w:sz w:val="20"/>
              <w:szCs w:val="20"/>
            </w:rPr>
            <w:t xml:space="preserve"> Jakarta: Erlangga.</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Harahap, S. S. (2010). </w:t>
          </w:r>
          <w:r w:rsidRPr="00A65B6D">
            <w:rPr>
              <w:rFonts w:ascii="Times New Roman" w:hAnsi="Times New Roman" w:cs="Times New Roman"/>
              <w:i/>
              <w:iCs/>
              <w:noProof/>
              <w:sz w:val="20"/>
              <w:szCs w:val="20"/>
            </w:rPr>
            <w:t>Analisis Kritis atas Laporan Keuangan.</w:t>
          </w:r>
          <w:r w:rsidRPr="00A65B6D">
            <w:rPr>
              <w:rFonts w:ascii="Times New Roman" w:hAnsi="Times New Roman" w:cs="Times New Roman"/>
              <w:noProof/>
              <w:sz w:val="20"/>
              <w:szCs w:val="20"/>
            </w:rPr>
            <w:t xml:space="preserve"> Jakarta: Rajawali Pers.</w:t>
          </w:r>
        </w:p>
        <w:p w:rsidR="00A65B6D" w:rsidRPr="00A65B6D" w:rsidRDefault="00A65B6D" w:rsidP="00A65B6D">
          <w:pPr>
            <w:pStyle w:val="Bibliography"/>
            <w:shd w:val="clear" w:color="auto" w:fill="FFFFFF" w:themeFill="background1"/>
            <w:ind w:left="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Harahap, S. S. (2011). </w:t>
          </w:r>
          <w:r w:rsidRPr="00A65B6D">
            <w:rPr>
              <w:rFonts w:ascii="Times New Roman" w:hAnsi="Times New Roman" w:cs="Times New Roman"/>
              <w:i/>
              <w:iCs/>
              <w:noProof/>
              <w:sz w:val="20"/>
              <w:szCs w:val="20"/>
            </w:rPr>
            <w:t>Teori Akuntansi Edisi Revisi .</w:t>
          </w:r>
          <w:r w:rsidRPr="00A65B6D">
            <w:rPr>
              <w:rFonts w:ascii="Times New Roman" w:hAnsi="Times New Roman" w:cs="Times New Roman"/>
              <w:noProof/>
              <w:sz w:val="20"/>
              <w:szCs w:val="20"/>
            </w:rPr>
            <w:t xml:space="preserve"> Jakarta : Rajawali Pers.</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Hasibuan, B. (2014). Pengaruh Tingkat Inflasi, Suku Bunga Dan Nilai Tukar Terhadap Kinerja Keuangan Perusahaan Perbankan Yang Listing Di Bursa Efek Indonesia Periode Tahun 2008 - 2012. </w:t>
          </w:r>
          <w:r w:rsidRPr="00A65B6D">
            <w:rPr>
              <w:rFonts w:ascii="Times New Roman" w:hAnsi="Times New Roman" w:cs="Times New Roman"/>
              <w:i/>
              <w:iCs/>
              <w:noProof/>
              <w:sz w:val="20"/>
              <w:szCs w:val="20"/>
            </w:rPr>
            <w:t xml:space="preserve">ISSN : 2252-5394 </w:t>
          </w:r>
          <w:r w:rsidRPr="00A65B6D">
            <w:rPr>
              <w:rFonts w:ascii="Times New Roman" w:hAnsi="Times New Roman" w:cs="Times New Roman"/>
              <w:noProof/>
              <w:sz w:val="20"/>
              <w:szCs w:val="20"/>
            </w:rPr>
            <w:t>, 34-46.</w:t>
          </w:r>
        </w:p>
        <w:p w:rsidR="00A65B6D" w:rsidRPr="00A65B6D" w:rsidRDefault="00A65B6D" w:rsidP="00A65B6D">
          <w:pPr>
            <w:pStyle w:val="Bibliography"/>
            <w:shd w:val="clear" w:color="auto" w:fill="FFFFFF" w:themeFill="background1"/>
            <w:ind w:left="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Hery. (2015). </w:t>
          </w:r>
          <w:r w:rsidRPr="00A65B6D">
            <w:rPr>
              <w:rFonts w:ascii="Times New Roman" w:hAnsi="Times New Roman" w:cs="Times New Roman"/>
              <w:i/>
              <w:iCs/>
              <w:noProof/>
              <w:sz w:val="20"/>
              <w:szCs w:val="20"/>
            </w:rPr>
            <w:t>Analisis Kinerja Manajemen.</w:t>
          </w:r>
          <w:r w:rsidRPr="00A65B6D">
            <w:rPr>
              <w:rFonts w:ascii="Times New Roman" w:hAnsi="Times New Roman" w:cs="Times New Roman"/>
              <w:noProof/>
              <w:sz w:val="20"/>
              <w:szCs w:val="20"/>
            </w:rPr>
            <w:t xml:space="preserve"> Jakarta: Grasindo.</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Hidayati, A. N. (2014). Pengaruh Inflasi, Bi Rate Dan Kurs Terhadap Profitabilitas Bank Syariah Di Indonesia. </w:t>
          </w:r>
          <w:r w:rsidRPr="00A65B6D">
            <w:rPr>
              <w:rFonts w:ascii="Times New Roman" w:hAnsi="Times New Roman" w:cs="Times New Roman"/>
              <w:i/>
              <w:iCs/>
              <w:noProof/>
              <w:sz w:val="20"/>
              <w:szCs w:val="20"/>
            </w:rPr>
            <w:t>An-Nisbah, Vol. 01</w:t>
          </w:r>
          <w:r w:rsidRPr="00A65B6D">
            <w:rPr>
              <w:rFonts w:ascii="Times New Roman" w:hAnsi="Times New Roman" w:cs="Times New Roman"/>
              <w:noProof/>
              <w:sz w:val="20"/>
              <w:szCs w:val="20"/>
            </w:rPr>
            <w:t xml:space="preserve"> , 73-97.</w:t>
          </w:r>
        </w:p>
        <w:p w:rsidR="00A65B6D" w:rsidRPr="00A65B6D" w:rsidRDefault="00A65B6D" w:rsidP="00A65B6D">
          <w:pPr>
            <w:shd w:val="clear" w:color="auto" w:fill="FFFFFF" w:themeFill="background1"/>
            <w:ind w:left="567" w:hanging="567"/>
            <w:jc w:val="both"/>
            <w:rPr>
              <w:color w:val="000000" w:themeColor="text1"/>
              <w:sz w:val="20"/>
              <w:szCs w:val="20"/>
              <w:lang w:val="id-ID"/>
            </w:rPr>
          </w:pPr>
          <w:hyperlink r:id="rId17" w:history="1">
            <w:r w:rsidRPr="00A65B6D">
              <w:rPr>
                <w:rStyle w:val="Hyperlink"/>
                <w:color w:val="000000" w:themeColor="text1"/>
                <w:sz w:val="20"/>
                <w:szCs w:val="20"/>
                <w:u w:val="none"/>
              </w:rPr>
              <w:t>https://www.indonesia-investments.com/id/keuangan/angka-ekonomi</w:t>
            </w:r>
            <w:r w:rsidRPr="00A65B6D">
              <w:rPr>
                <w:rStyle w:val="Hyperlink"/>
                <w:color w:val="000000" w:themeColor="text1"/>
                <w:sz w:val="20"/>
                <w:szCs w:val="20"/>
                <w:u w:val="none"/>
                <w:lang w:val="id-ID"/>
              </w:rPr>
              <w:t>-</w:t>
            </w:r>
            <w:r w:rsidRPr="00A65B6D">
              <w:rPr>
                <w:rStyle w:val="Hyperlink"/>
                <w:color w:val="000000" w:themeColor="text1"/>
                <w:sz w:val="20"/>
                <w:szCs w:val="20"/>
                <w:u w:val="none"/>
              </w:rPr>
              <w:t>makro/produk-domestik-bruto-indonesia/item253</w:t>
            </w:r>
          </w:hyperlink>
          <w:r w:rsidRPr="00A65B6D">
            <w:rPr>
              <w:color w:val="000000" w:themeColor="text1"/>
              <w:sz w:val="20"/>
              <w:szCs w:val="20"/>
            </w:rPr>
            <w:t>?, diunduh pada tanggal 20 Mei 2018</w:t>
          </w:r>
        </w:p>
        <w:p w:rsidR="00A65B6D" w:rsidRPr="00A65B6D" w:rsidRDefault="00A65B6D" w:rsidP="00A65B6D">
          <w:pPr>
            <w:shd w:val="clear" w:color="auto" w:fill="FFFFFF" w:themeFill="background1"/>
            <w:ind w:left="567" w:hanging="567"/>
            <w:jc w:val="both"/>
            <w:rPr>
              <w:color w:val="000000" w:themeColor="text1"/>
              <w:sz w:val="20"/>
              <w:szCs w:val="20"/>
              <w:lang w:val="id-ID"/>
            </w:rPr>
          </w:pPr>
          <w:hyperlink r:id="rId18" w:history="1">
            <w:r w:rsidRPr="00A65B6D">
              <w:rPr>
                <w:rStyle w:val="Hyperlink"/>
                <w:color w:val="000000" w:themeColor="text1"/>
                <w:sz w:val="20"/>
                <w:szCs w:val="20"/>
                <w:u w:val="none"/>
              </w:rPr>
              <w:t>https://tirto.id/ojk-sektor-jasa-keuangan-dorong-pertumbuhan-ekonomi-2018-54-cDtt</w:t>
            </w:r>
          </w:hyperlink>
          <w:r w:rsidRPr="00A65B6D">
            <w:rPr>
              <w:color w:val="000000" w:themeColor="text1"/>
              <w:sz w:val="20"/>
              <w:szCs w:val="20"/>
            </w:rPr>
            <w:t>, diunduh pada tanggal 23 Februari 2018</w:t>
          </w:r>
          <w:r w:rsidRPr="00A65B6D">
            <w:rPr>
              <w:color w:val="000000" w:themeColor="text1"/>
              <w:sz w:val="20"/>
              <w:szCs w:val="20"/>
              <w:lang w:val="id-ID"/>
            </w:rPr>
            <w:t>.</w:t>
          </w:r>
        </w:p>
        <w:p w:rsidR="00A65B6D" w:rsidRPr="00A65B6D" w:rsidRDefault="00A65B6D" w:rsidP="00A65B6D">
          <w:pPr>
            <w:shd w:val="clear" w:color="auto" w:fill="FFFFFF" w:themeFill="background1"/>
            <w:ind w:left="567" w:hanging="567"/>
            <w:jc w:val="both"/>
            <w:rPr>
              <w:color w:val="000000" w:themeColor="text1"/>
              <w:sz w:val="20"/>
              <w:szCs w:val="20"/>
            </w:rPr>
          </w:pPr>
          <w:r w:rsidRPr="00A65B6D">
            <w:rPr>
              <w:color w:val="000000" w:themeColor="text1"/>
              <w:sz w:val="20"/>
              <w:szCs w:val="20"/>
            </w:rPr>
            <w:t>https://</w:t>
          </w:r>
          <w:hyperlink r:id="rId19" w:history="1">
            <w:r w:rsidRPr="00A65B6D">
              <w:rPr>
                <w:rStyle w:val="Hyperlink"/>
                <w:color w:val="000000" w:themeColor="text1"/>
                <w:sz w:val="20"/>
                <w:szCs w:val="20"/>
                <w:u w:val="none"/>
              </w:rPr>
              <w:t>www.bi.go.id/id/moneter/bi-rate/penjelasan/Contents/Default.aspx</w:t>
            </w:r>
          </w:hyperlink>
          <w:r w:rsidRPr="00A65B6D">
            <w:rPr>
              <w:color w:val="000000" w:themeColor="text1"/>
              <w:sz w:val="20"/>
              <w:szCs w:val="20"/>
            </w:rPr>
            <w:t>, diunduh pada tanggal 25 Februari 2018.</w:t>
          </w:r>
        </w:p>
        <w:p w:rsidR="00A65B6D" w:rsidRPr="00A65B6D" w:rsidRDefault="00A65B6D" w:rsidP="00A65B6D">
          <w:pPr>
            <w:shd w:val="clear" w:color="auto" w:fill="FFFFFF" w:themeFill="background1"/>
            <w:ind w:left="567" w:hanging="567"/>
            <w:jc w:val="both"/>
            <w:rPr>
              <w:color w:val="000000" w:themeColor="text1"/>
              <w:sz w:val="20"/>
              <w:szCs w:val="20"/>
              <w:lang w:val="id-ID"/>
            </w:rPr>
          </w:pPr>
          <w:r w:rsidRPr="00A65B6D">
            <w:rPr>
              <w:color w:val="000000" w:themeColor="text1"/>
              <w:sz w:val="20"/>
              <w:szCs w:val="20"/>
            </w:rPr>
            <w:t>https://</w:t>
          </w:r>
          <w:hyperlink r:id="rId20" w:history="1">
            <w:r w:rsidRPr="00A65B6D">
              <w:rPr>
                <w:rStyle w:val="Hyperlink"/>
                <w:color w:val="000000" w:themeColor="text1"/>
                <w:sz w:val="20"/>
                <w:szCs w:val="20"/>
                <w:u w:val="none"/>
              </w:rPr>
              <w:t>www.bi.go.id/id/moneter/inflasi/pengenalan/Contents/Default.aspx</w:t>
            </w:r>
          </w:hyperlink>
          <w:r w:rsidRPr="00A65B6D">
            <w:rPr>
              <w:color w:val="000000" w:themeColor="text1"/>
              <w:sz w:val="20"/>
              <w:szCs w:val="20"/>
            </w:rPr>
            <w:t>, diunduh pada tanggal 25 Februari 2018</w:t>
          </w:r>
        </w:p>
        <w:p w:rsidR="00A65B6D" w:rsidRPr="00A65B6D" w:rsidRDefault="00A65B6D" w:rsidP="00A65B6D">
          <w:pPr>
            <w:shd w:val="clear" w:color="auto" w:fill="FFFFFF" w:themeFill="background1"/>
            <w:ind w:left="567" w:hanging="567"/>
            <w:jc w:val="both"/>
            <w:rPr>
              <w:color w:val="000000" w:themeColor="text1"/>
              <w:sz w:val="20"/>
              <w:szCs w:val="20"/>
              <w:lang w:val="id-ID"/>
            </w:rPr>
          </w:pPr>
          <w:r w:rsidRPr="00A65B6D">
            <w:rPr>
              <w:color w:val="000000" w:themeColor="text1"/>
              <w:sz w:val="20"/>
              <w:szCs w:val="20"/>
              <w:lang w:val="id-ID"/>
            </w:rPr>
            <w:t>http://</w:t>
          </w:r>
          <w:hyperlink r:id="rId21" w:history="1">
            <w:r w:rsidRPr="00A65B6D">
              <w:rPr>
                <w:rStyle w:val="Hyperlink"/>
                <w:color w:val="000000" w:themeColor="text1"/>
                <w:sz w:val="20"/>
                <w:szCs w:val="20"/>
                <w:u w:val="none"/>
              </w:rPr>
              <w:t>www.idx.co.id</w:t>
            </w:r>
          </w:hyperlink>
          <w:r w:rsidRPr="00A65B6D">
            <w:rPr>
              <w:color w:val="000000" w:themeColor="text1"/>
              <w:sz w:val="20"/>
              <w:szCs w:val="20"/>
              <w:lang w:val="id-ID"/>
            </w:rPr>
            <w:t xml:space="preserve">, </w:t>
          </w:r>
          <w:r w:rsidRPr="00A65B6D">
            <w:rPr>
              <w:color w:val="000000" w:themeColor="text1"/>
              <w:sz w:val="20"/>
              <w:szCs w:val="20"/>
            </w:rPr>
            <w:t>diunduh pada tanggal 25 Februari 2018</w:t>
          </w:r>
          <w:r w:rsidRPr="00A65B6D">
            <w:rPr>
              <w:color w:val="000000" w:themeColor="text1"/>
              <w:sz w:val="20"/>
              <w:szCs w:val="20"/>
              <w:lang w:val="id-ID"/>
            </w:rPr>
            <w:t>.</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Ikatan Akuntansi Indonesia. (2009). </w:t>
          </w:r>
          <w:r w:rsidRPr="00A65B6D">
            <w:rPr>
              <w:rFonts w:ascii="Times New Roman" w:hAnsi="Times New Roman" w:cs="Times New Roman"/>
              <w:i/>
              <w:iCs/>
              <w:noProof/>
              <w:sz w:val="20"/>
              <w:szCs w:val="20"/>
            </w:rPr>
            <w:t>Pernyataan Standar Akuntansi Keuangan No. 1.</w:t>
          </w:r>
          <w:r w:rsidRPr="00A65B6D">
            <w:rPr>
              <w:rFonts w:ascii="Times New Roman" w:hAnsi="Times New Roman" w:cs="Times New Roman"/>
              <w:noProof/>
              <w:sz w:val="20"/>
              <w:szCs w:val="20"/>
            </w:rPr>
            <w:t xml:space="preserve"> Jakarta: Salemba Empat.</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Ikatan Akuntansi Indonesia. (2015). </w:t>
          </w:r>
          <w:r w:rsidRPr="00A65B6D">
            <w:rPr>
              <w:rFonts w:ascii="Times New Roman" w:hAnsi="Times New Roman" w:cs="Times New Roman"/>
              <w:i/>
              <w:iCs/>
              <w:noProof/>
              <w:sz w:val="20"/>
              <w:szCs w:val="20"/>
            </w:rPr>
            <w:t>Pernyataan Standar Akuntansi Keuangan No. 1.</w:t>
          </w:r>
          <w:r w:rsidRPr="00A65B6D">
            <w:rPr>
              <w:rFonts w:ascii="Times New Roman" w:hAnsi="Times New Roman" w:cs="Times New Roman"/>
              <w:noProof/>
              <w:sz w:val="20"/>
              <w:szCs w:val="20"/>
            </w:rPr>
            <w:t xml:space="preserve"> Jakarta: Salemba Empat.</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Kalengkongan, G. (2013). Tingkat Suku Bunga Dan Inflasi Pengaruhnya Terhadap Return On Asset (Roa) Pada Industri Perbankan Yang Go Public Di Bursa Efek Indonesia. </w:t>
          </w:r>
          <w:r w:rsidRPr="00A65B6D">
            <w:rPr>
              <w:rFonts w:ascii="Times New Roman" w:hAnsi="Times New Roman" w:cs="Times New Roman"/>
              <w:i/>
              <w:iCs/>
              <w:noProof/>
              <w:sz w:val="20"/>
              <w:szCs w:val="20"/>
            </w:rPr>
            <w:t>ISSN 2303-1174 Vol.1 No.4</w:t>
          </w:r>
          <w:r w:rsidRPr="00A65B6D">
            <w:rPr>
              <w:rFonts w:ascii="Times New Roman" w:hAnsi="Times New Roman" w:cs="Times New Roman"/>
              <w:noProof/>
              <w:sz w:val="20"/>
              <w:szCs w:val="20"/>
            </w:rPr>
            <w:t xml:space="preserve"> , 737-747.</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Kalopo, T., Ateni, R. K., &amp; Oke, M. O. (2012). Credit Risk and Commercial Bank's Performance in Nigeria: A Panel Model Approach. </w:t>
          </w:r>
          <w:r w:rsidRPr="00A65B6D">
            <w:rPr>
              <w:rFonts w:ascii="Times New Roman" w:hAnsi="Times New Roman" w:cs="Times New Roman"/>
              <w:i/>
              <w:iCs/>
              <w:noProof/>
              <w:sz w:val="20"/>
              <w:szCs w:val="20"/>
            </w:rPr>
            <w:t xml:space="preserve">Australian Journal of Business and Management Research. Vol 02 </w:t>
          </w:r>
          <w:r w:rsidRPr="00A65B6D">
            <w:rPr>
              <w:rFonts w:ascii="Times New Roman" w:hAnsi="Times New Roman" w:cs="Times New Roman"/>
              <w:noProof/>
              <w:sz w:val="20"/>
              <w:szCs w:val="20"/>
            </w:rPr>
            <w:t>, 31-38.</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Kasmir. (2012). </w:t>
          </w:r>
          <w:r w:rsidRPr="00A65B6D">
            <w:rPr>
              <w:rFonts w:ascii="Times New Roman" w:hAnsi="Times New Roman" w:cs="Times New Roman"/>
              <w:i/>
              <w:iCs/>
              <w:noProof/>
              <w:sz w:val="20"/>
              <w:szCs w:val="20"/>
            </w:rPr>
            <w:t>Bank dan Lembaga Keuangan Lainnya, Edisi revisi 2012.</w:t>
          </w:r>
          <w:r w:rsidRPr="00A65B6D">
            <w:rPr>
              <w:rFonts w:ascii="Times New Roman" w:hAnsi="Times New Roman" w:cs="Times New Roman"/>
              <w:noProof/>
              <w:sz w:val="20"/>
              <w:szCs w:val="20"/>
            </w:rPr>
            <w:t xml:space="preserve"> Jakarta: PT Raja Grafindo Persada.</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Kasmir. (2015). </w:t>
          </w:r>
          <w:r w:rsidRPr="00A65B6D">
            <w:rPr>
              <w:rFonts w:ascii="Times New Roman" w:hAnsi="Times New Roman" w:cs="Times New Roman"/>
              <w:i/>
              <w:iCs/>
              <w:noProof/>
              <w:sz w:val="20"/>
              <w:szCs w:val="20"/>
            </w:rPr>
            <w:t>Bank dan Lembaga Keuangan Lainnya, Edisi revisi 2015.</w:t>
          </w:r>
          <w:r w:rsidRPr="00A65B6D">
            <w:rPr>
              <w:rFonts w:ascii="Times New Roman" w:hAnsi="Times New Roman" w:cs="Times New Roman"/>
              <w:noProof/>
              <w:sz w:val="20"/>
              <w:szCs w:val="20"/>
            </w:rPr>
            <w:t xml:space="preserve"> Jakarta: PT Raja Grafindo Persada.</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lastRenderedPageBreak/>
            <w:t xml:space="preserve">Muhaemin, A., &amp; Wiliasih, R. (2016). Analisis Faktor-Faktor Yang Memengaruhi Profitabilitas Bank Pembiayaan Rakyat Syariah Di Indonesia. </w:t>
          </w:r>
          <w:r w:rsidRPr="00A65B6D">
            <w:rPr>
              <w:rFonts w:ascii="Times New Roman" w:hAnsi="Times New Roman" w:cs="Times New Roman"/>
              <w:i/>
              <w:iCs/>
              <w:noProof/>
              <w:sz w:val="20"/>
              <w:szCs w:val="20"/>
            </w:rPr>
            <w:t>Jurnal Nisbah vol.2</w:t>
          </w:r>
          <w:r w:rsidRPr="00A65B6D">
            <w:rPr>
              <w:rFonts w:ascii="Times New Roman" w:hAnsi="Times New Roman" w:cs="Times New Roman"/>
              <w:noProof/>
              <w:sz w:val="20"/>
              <w:szCs w:val="20"/>
            </w:rPr>
            <w:t xml:space="preserve"> , 181-206.</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Munawir, S. (2010). </w:t>
          </w:r>
          <w:r w:rsidRPr="00A65B6D">
            <w:rPr>
              <w:rFonts w:ascii="Times New Roman" w:hAnsi="Times New Roman" w:cs="Times New Roman"/>
              <w:i/>
              <w:iCs/>
              <w:noProof/>
              <w:sz w:val="20"/>
              <w:szCs w:val="20"/>
            </w:rPr>
            <w:t>Analisis laporan Keuangan Edisi keempat. Cetakan Kelima.</w:t>
          </w:r>
          <w:r w:rsidRPr="00A65B6D">
            <w:rPr>
              <w:rFonts w:ascii="Times New Roman" w:hAnsi="Times New Roman" w:cs="Times New Roman"/>
              <w:noProof/>
              <w:sz w:val="20"/>
              <w:szCs w:val="20"/>
            </w:rPr>
            <w:t xml:space="preserve"> Yogyakarta: Liberty.</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Murni, A. (2013). </w:t>
          </w:r>
          <w:r w:rsidRPr="00A65B6D">
            <w:rPr>
              <w:rFonts w:ascii="Times New Roman" w:hAnsi="Times New Roman" w:cs="Times New Roman"/>
              <w:i/>
              <w:iCs/>
              <w:noProof/>
              <w:sz w:val="20"/>
              <w:szCs w:val="20"/>
            </w:rPr>
            <w:t>Ekonomika Makro Edisi Revisi.</w:t>
          </w:r>
          <w:r w:rsidRPr="00A65B6D">
            <w:rPr>
              <w:rFonts w:ascii="Times New Roman" w:hAnsi="Times New Roman" w:cs="Times New Roman"/>
              <w:noProof/>
              <w:sz w:val="20"/>
              <w:szCs w:val="20"/>
            </w:rPr>
            <w:t xml:space="preserve"> Bandung: PT. Refika Aditama Anoraga.</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Natsir, M. (2014). Peranan Jalur Suku Bunga dalam mekanisme transmisi. </w:t>
          </w:r>
          <w:r w:rsidRPr="00A65B6D">
            <w:rPr>
              <w:rFonts w:ascii="Times New Roman" w:hAnsi="Times New Roman" w:cs="Times New Roman"/>
              <w:i/>
              <w:iCs/>
              <w:noProof/>
              <w:sz w:val="20"/>
              <w:szCs w:val="20"/>
            </w:rPr>
            <w:t>Jurnal</w:t>
          </w:r>
          <w:r w:rsidRPr="00A65B6D">
            <w:rPr>
              <w:rFonts w:ascii="Times New Roman" w:hAnsi="Times New Roman" w:cs="Times New Roman"/>
              <w:noProof/>
              <w:sz w:val="20"/>
              <w:szCs w:val="20"/>
            </w:rPr>
            <w:t xml:space="preserve"> , 103-104.</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Oktavia, L. D. (2009). Pengaruh Suku Bunga BI, Nilai Tukar Rupiah dan Inflasi Terhadap Kinerja Keuangan Perusahaan Sebelum dan Sesudah Privatisasi (Studi Kasus Pada PT Telekomunikasi Indonesia Tbk). </w:t>
          </w:r>
          <w:r w:rsidRPr="00A65B6D">
            <w:rPr>
              <w:rFonts w:ascii="Times New Roman" w:hAnsi="Times New Roman" w:cs="Times New Roman"/>
              <w:i/>
              <w:iCs/>
              <w:noProof/>
              <w:sz w:val="20"/>
              <w:szCs w:val="20"/>
            </w:rPr>
            <w:t>Jurnal Bisnis dan Manajemen</w:t>
          </w:r>
          <w:r w:rsidRPr="00A65B6D">
            <w:rPr>
              <w:rFonts w:ascii="Times New Roman" w:hAnsi="Times New Roman" w:cs="Times New Roman"/>
              <w:noProof/>
              <w:sz w:val="20"/>
              <w:szCs w:val="20"/>
            </w:rPr>
            <w:t xml:space="preserve"> .</w:t>
          </w:r>
        </w:p>
        <w:p w:rsidR="00A65B6D" w:rsidRPr="00A65B6D" w:rsidRDefault="00A65B6D" w:rsidP="00A65B6D">
          <w:pPr>
            <w:pStyle w:val="Bibliography"/>
            <w:shd w:val="clear" w:color="auto" w:fill="FFFFFF" w:themeFill="background1"/>
            <w:ind w:left="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Pandia, F. (2012). </w:t>
          </w:r>
          <w:r w:rsidRPr="00A65B6D">
            <w:rPr>
              <w:rFonts w:ascii="Times New Roman" w:hAnsi="Times New Roman" w:cs="Times New Roman"/>
              <w:i/>
              <w:iCs/>
              <w:noProof/>
              <w:sz w:val="20"/>
              <w:szCs w:val="20"/>
            </w:rPr>
            <w:t>Manajemen Dana dan Kesehatan Bank.</w:t>
          </w:r>
          <w:r w:rsidRPr="00A65B6D">
            <w:rPr>
              <w:rFonts w:ascii="Times New Roman" w:hAnsi="Times New Roman" w:cs="Times New Roman"/>
              <w:noProof/>
              <w:sz w:val="20"/>
              <w:szCs w:val="20"/>
            </w:rPr>
            <w:t xml:space="preserve"> Jakarta: Rineka Cipta.</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Prastowo, &amp; Rifka, J. (2010). </w:t>
          </w:r>
          <w:r w:rsidRPr="00A65B6D">
            <w:rPr>
              <w:rFonts w:ascii="Times New Roman" w:hAnsi="Times New Roman" w:cs="Times New Roman"/>
              <w:i/>
              <w:iCs/>
              <w:noProof/>
              <w:sz w:val="20"/>
              <w:szCs w:val="20"/>
            </w:rPr>
            <w:t>Analisis Laporan Keuangan Konsep dan Aplikasi (Edisi Kedua).</w:t>
          </w:r>
          <w:r w:rsidRPr="00A65B6D">
            <w:rPr>
              <w:rFonts w:ascii="Times New Roman" w:hAnsi="Times New Roman" w:cs="Times New Roman"/>
              <w:noProof/>
              <w:sz w:val="20"/>
              <w:szCs w:val="20"/>
            </w:rPr>
            <w:t xml:space="preserve"> Yogyakarta: UPP STIM YKPN.</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Prastowo, D. (2014). </w:t>
          </w:r>
          <w:r w:rsidRPr="00A65B6D">
            <w:rPr>
              <w:rFonts w:ascii="Times New Roman" w:hAnsi="Times New Roman" w:cs="Times New Roman"/>
              <w:i/>
              <w:iCs/>
              <w:noProof/>
              <w:sz w:val="20"/>
              <w:szCs w:val="20"/>
            </w:rPr>
            <w:t>Analisis Laporan Keuangan Edisi Kedua.</w:t>
          </w:r>
          <w:r w:rsidRPr="00A65B6D">
            <w:rPr>
              <w:rFonts w:ascii="Times New Roman" w:hAnsi="Times New Roman" w:cs="Times New Roman"/>
              <w:noProof/>
              <w:sz w:val="20"/>
              <w:szCs w:val="20"/>
            </w:rPr>
            <w:t xml:space="preserve"> Sekolah Tinggi Ilmu Manajemen YKPN.</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Rahman, M. H., &amp; Trenggana, A. F. (2017). Pengaruh Suku Bunga Bank Indonesia Dan Inflasi Terhadap Profitabilitas (Studi Pada Perusahaan Pembiayaan Yang Terdaftar Di Bursa Efek Indonesia Periode 2011-2015). </w:t>
          </w:r>
          <w:r w:rsidRPr="00A65B6D">
            <w:rPr>
              <w:rFonts w:ascii="Times New Roman" w:hAnsi="Times New Roman" w:cs="Times New Roman"/>
              <w:i/>
              <w:iCs/>
              <w:noProof/>
              <w:sz w:val="20"/>
              <w:szCs w:val="20"/>
            </w:rPr>
            <w:t>ISSN 2085-7993 Vol. 16</w:t>
          </w:r>
          <w:r w:rsidRPr="00A65B6D">
            <w:rPr>
              <w:rFonts w:ascii="Times New Roman" w:hAnsi="Times New Roman" w:cs="Times New Roman"/>
              <w:noProof/>
              <w:sz w:val="20"/>
              <w:szCs w:val="20"/>
            </w:rPr>
            <w:t xml:space="preserve"> , 39-45.</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Ridhwan. (2016). Analisis Suku Bunga dan Inflasi Terhadap Profitabilitas PT. Bank Syariah Mandiri Indonesia. </w:t>
          </w:r>
          <w:r w:rsidRPr="00A65B6D">
            <w:rPr>
              <w:rFonts w:ascii="Times New Roman" w:hAnsi="Times New Roman" w:cs="Times New Roman"/>
              <w:i/>
              <w:iCs/>
              <w:noProof/>
              <w:sz w:val="20"/>
              <w:szCs w:val="20"/>
            </w:rPr>
            <w:t>ISSN : 0852-8349</w:t>
          </w:r>
          <w:r w:rsidRPr="00A65B6D">
            <w:rPr>
              <w:rFonts w:ascii="Times New Roman" w:hAnsi="Times New Roman" w:cs="Times New Roman"/>
              <w:noProof/>
              <w:sz w:val="20"/>
              <w:szCs w:val="20"/>
            </w:rPr>
            <w:t xml:space="preserve"> , 01-11.</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Sahara, A. Y. (2013). Analisis Pengaruh Inflasi, Suku Bunga BI, dan Produk Domestik Bruto Terhadap Return On Asset (ROA) Bank Syari’ah di Indonesia. </w:t>
          </w:r>
          <w:r w:rsidRPr="00A65B6D">
            <w:rPr>
              <w:rFonts w:ascii="Times New Roman" w:hAnsi="Times New Roman" w:cs="Times New Roman"/>
              <w:i/>
              <w:iCs/>
              <w:noProof/>
              <w:sz w:val="20"/>
              <w:szCs w:val="20"/>
            </w:rPr>
            <w:t>Ilmu Manajemen Universitas Negeri Surabaya I (1)</w:t>
          </w:r>
          <w:r w:rsidRPr="00A65B6D">
            <w:rPr>
              <w:rFonts w:ascii="Times New Roman" w:hAnsi="Times New Roman" w:cs="Times New Roman"/>
              <w:noProof/>
              <w:sz w:val="20"/>
              <w:szCs w:val="20"/>
            </w:rPr>
            <w:t xml:space="preserve"> , 149-157.</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Samsul. (2006). </w:t>
          </w:r>
          <w:r w:rsidRPr="00A65B6D">
            <w:rPr>
              <w:rFonts w:ascii="Times New Roman" w:hAnsi="Times New Roman" w:cs="Times New Roman"/>
              <w:i/>
              <w:iCs/>
              <w:noProof/>
              <w:sz w:val="20"/>
              <w:szCs w:val="20"/>
            </w:rPr>
            <w:t>Pengantar Ilmu Ekonomi Makro dan Mikro. Edisi Pertama.</w:t>
          </w:r>
          <w:r w:rsidRPr="00A65B6D">
            <w:rPr>
              <w:rFonts w:ascii="Times New Roman" w:hAnsi="Times New Roman" w:cs="Times New Roman"/>
              <w:noProof/>
              <w:sz w:val="20"/>
              <w:szCs w:val="20"/>
            </w:rPr>
            <w:t xml:space="preserve"> Yogyakarta: BPFE.</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Sodiq, A. (2014). Analisis Pengaruh Inflasi, Produk Domestic Bruto Dan Jumlah Uang Beredar Terhadap Return On Asset Bank Syariah. </w:t>
          </w:r>
          <w:r w:rsidRPr="00A65B6D">
            <w:rPr>
              <w:rFonts w:ascii="Times New Roman" w:hAnsi="Times New Roman" w:cs="Times New Roman"/>
              <w:i/>
              <w:iCs/>
              <w:noProof/>
              <w:sz w:val="20"/>
              <w:szCs w:val="20"/>
            </w:rPr>
            <w:t>Equilibrium Vol. 02</w:t>
          </w:r>
          <w:r w:rsidRPr="00A65B6D">
            <w:rPr>
              <w:rFonts w:ascii="Times New Roman" w:hAnsi="Times New Roman" w:cs="Times New Roman"/>
              <w:noProof/>
              <w:sz w:val="20"/>
              <w:szCs w:val="20"/>
            </w:rPr>
            <w:t xml:space="preserve"> , 208-225.</w:t>
          </w:r>
        </w:p>
        <w:p w:rsidR="00A65B6D" w:rsidRPr="00A65B6D" w:rsidRDefault="00A65B6D" w:rsidP="00A65B6D">
          <w:pPr>
            <w:pStyle w:val="Bibliography"/>
            <w:shd w:val="clear" w:color="auto" w:fill="FFFFFF" w:themeFill="background1"/>
            <w:ind w:left="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Sugiyono. (2016). </w:t>
          </w:r>
          <w:r w:rsidRPr="00A65B6D">
            <w:rPr>
              <w:rFonts w:ascii="Times New Roman" w:hAnsi="Times New Roman" w:cs="Times New Roman"/>
              <w:i/>
              <w:iCs/>
              <w:noProof/>
              <w:sz w:val="20"/>
              <w:szCs w:val="20"/>
            </w:rPr>
            <w:t>Metodologi Penelitian Bisnis.</w:t>
          </w:r>
          <w:r w:rsidRPr="00A65B6D">
            <w:rPr>
              <w:rFonts w:ascii="Times New Roman" w:hAnsi="Times New Roman" w:cs="Times New Roman"/>
              <w:noProof/>
              <w:sz w:val="20"/>
              <w:szCs w:val="20"/>
            </w:rPr>
            <w:t xml:space="preserve"> Bandung: CV Alfabeta.</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Supriyanti, N. (2009). </w:t>
          </w:r>
          <w:r w:rsidRPr="00A65B6D">
            <w:rPr>
              <w:rFonts w:ascii="Times New Roman" w:hAnsi="Times New Roman" w:cs="Times New Roman"/>
              <w:i/>
              <w:iCs/>
              <w:noProof/>
              <w:sz w:val="20"/>
              <w:szCs w:val="20"/>
            </w:rPr>
            <w:t>Analisis Pengaruh Inflasi dan Suku Bunga BI terhadap Kinerja Keuangan PT. Bank Mandiri, Tbk. Berdasarkan Rasio Keuangan. .</w:t>
          </w:r>
          <w:r w:rsidRPr="00A65B6D">
            <w:rPr>
              <w:rFonts w:ascii="Times New Roman" w:hAnsi="Times New Roman" w:cs="Times New Roman"/>
              <w:noProof/>
              <w:sz w:val="20"/>
              <w:szCs w:val="20"/>
            </w:rPr>
            <w:t xml:space="preserve"> Jakarta: Universitas Gunadarma.</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Sutrisno. (2012). </w:t>
          </w:r>
          <w:r w:rsidRPr="00A65B6D">
            <w:rPr>
              <w:rFonts w:ascii="Times New Roman" w:hAnsi="Times New Roman" w:cs="Times New Roman"/>
              <w:i/>
              <w:iCs/>
              <w:noProof/>
              <w:sz w:val="20"/>
              <w:szCs w:val="20"/>
            </w:rPr>
            <w:t>Manajemen Keuangan: Teori, Konsep dan Aplikasi.</w:t>
          </w:r>
          <w:r w:rsidRPr="00A65B6D">
            <w:rPr>
              <w:rFonts w:ascii="Times New Roman" w:hAnsi="Times New Roman" w:cs="Times New Roman"/>
              <w:noProof/>
              <w:sz w:val="20"/>
              <w:szCs w:val="20"/>
            </w:rPr>
            <w:t xml:space="preserve"> Yogyakarta: Ekonesia.</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Suwardjono. (2008). </w:t>
          </w:r>
          <w:r w:rsidRPr="00A65B6D">
            <w:rPr>
              <w:rFonts w:ascii="Times New Roman" w:hAnsi="Times New Roman" w:cs="Times New Roman"/>
              <w:i/>
              <w:iCs/>
              <w:noProof/>
              <w:sz w:val="20"/>
              <w:szCs w:val="20"/>
            </w:rPr>
            <w:t>Teori Akuntansi Perekayasaan Pelaporan Keuangan, edisi ketiga.</w:t>
          </w:r>
          <w:r w:rsidRPr="00A65B6D">
            <w:rPr>
              <w:rFonts w:ascii="Times New Roman" w:hAnsi="Times New Roman" w:cs="Times New Roman"/>
              <w:noProof/>
              <w:sz w:val="20"/>
              <w:szCs w:val="20"/>
            </w:rPr>
            <w:t xml:space="preserve"> Yogyakarta: BPFE.</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Thomson. (2005). </w:t>
          </w:r>
          <w:r w:rsidRPr="00A65B6D">
            <w:rPr>
              <w:rFonts w:ascii="Times New Roman" w:hAnsi="Times New Roman" w:cs="Times New Roman"/>
              <w:i/>
              <w:iCs/>
              <w:noProof/>
              <w:sz w:val="20"/>
              <w:szCs w:val="20"/>
            </w:rPr>
            <w:t>Warren Reeve Fess Accounting Pengantar Akuntansi.</w:t>
          </w:r>
          <w:r w:rsidRPr="00A65B6D">
            <w:rPr>
              <w:rFonts w:ascii="Times New Roman" w:hAnsi="Times New Roman" w:cs="Times New Roman"/>
              <w:noProof/>
              <w:sz w:val="20"/>
              <w:szCs w:val="20"/>
            </w:rPr>
            <w:t xml:space="preserve"> Jakarta: Salemba Empat.</w:t>
          </w:r>
        </w:p>
        <w:p w:rsidR="00A65B6D" w:rsidRPr="00A65B6D" w:rsidRDefault="00A65B6D" w:rsidP="00A65B6D">
          <w:pPr>
            <w:shd w:val="clear" w:color="auto" w:fill="FFFFFF" w:themeFill="background1"/>
            <w:ind w:left="567"/>
            <w:jc w:val="both"/>
            <w:rPr>
              <w:sz w:val="20"/>
              <w:szCs w:val="20"/>
            </w:rPr>
          </w:pPr>
          <w:r w:rsidRPr="00A65B6D">
            <w:rPr>
              <w:sz w:val="20"/>
              <w:szCs w:val="20"/>
            </w:rPr>
            <w:t>Undang-Undang No 10 tahun 1998 tentang Perbankan.</w:t>
          </w:r>
        </w:p>
        <w:p w:rsidR="00A65B6D" w:rsidRPr="00A65B6D" w:rsidRDefault="00A65B6D" w:rsidP="00A65B6D">
          <w:pPr>
            <w:shd w:val="clear" w:color="auto" w:fill="FFFFFF" w:themeFill="background1"/>
            <w:ind w:left="567"/>
            <w:jc w:val="both"/>
            <w:rPr>
              <w:sz w:val="20"/>
              <w:szCs w:val="20"/>
              <w:lang w:val="id-ID"/>
            </w:rPr>
          </w:pPr>
          <w:r w:rsidRPr="00A65B6D">
            <w:rPr>
              <w:sz w:val="20"/>
              <w:szCs w:val="20"/>
            </w:rPr>
            <w:t>Undang-Undang No 14 tahun 1967 tentang Perbankan.</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Widarjono, A. (2007). </w:t>
          </w:r>
          <w:r w:rsidRPr="00A65B6D">
            <w:rPr>
              <w:rFonts w:ascii="Times New Roman" w:hAnsi="Times New Roman" w:cs="Times New Roman"/>
              <w:i/>
              <w:iCs/>
              <w:noProof/>
              <w:sz w:val="20"/>
              <w:szCs w:val="20"/>
            </w:rPr>
            <w:t>EKONOMETRIKA; Pengantar dan Aplikasinya(3rd ed.).</w:t>
          </w:r>
          <w:r w:rsidRPr="00A65B6D">
            <w:rPr>
              <w:rFonts w:ascii="Times New Roman" w:hAnsi="Times New Roman" w:cs="Times New Roman"/>
              <w:noProof/>
              <w:sz w:val="20"/>
              <w:szCs w:val="20"/>
            </w:rPr>
            <w:t xml:space="preserve"> Yogyakarta: Ekonisia.</w:t>
          </w:r>
        </w:p>
        <w:p w:rsidR="00A65B6D" w:rsidRPr="00A65B6D" w:rsidRDefault="00A65B6D" w:rsidP="00A65B6D">
          <w:pPr>
            <w:pStyle w:val="Bibliography"/>
            <w:shd w:val="clear" w:color="auto" w:fill="FFFFFF" w:themeFill="background1"/>
            <w:ind w:left="567" w:hanging="567"/>
            <w:jc w:val="both"/>
            <w:rPr>
              <w:rFonts w:ascii="Times New Roman" w:hAnsi="Times New Roman" w:cs="Times New Roman"/>
              <w:noProof/>
              <w:sz w:val="20"/>
              <w:szCs w:val="20"/>
            </w:rPr>
          </w:pPr>
          <w:r w:rsidRPr="00A65B6D">
            <w:rPr>
              <w:rFonts w:ascii="Times New Roman" w:hAnsi="Times New Roman" w:cs="Times New Roman"/>
              <w:noProof/>
              <w:sz w:val="20"/>
              <w:szCs w:val="20"/>
            </w:rPr>
            <w:t xml:space="preserve">Zulifah, F., &amp; Susilowibowo. (2014). Pengaruh Inflasi, BI Rate, Capital Adequacy Ratio (CAR), Non Performing Finance (NPF), Biaya Operasioal dan Pendapatan Operasional (BOPO) Terhadap Proitabilitas Bank Umum Syariah. </w:t>
          </w:r>
          <w:r w:rsidRPr="00A65B6D">
            <w:rPr>
              <w:rFonts w:ascii="Times New Roman" w:hAnsi="Times New Roman" w:cs="Times New Roman"/>
              <w:i/>
              <w:iCs/>
              <w:noProof/>
              <w:sz w:val="20"/>
              <w:szCs w:val="20"/>
            </w:rPr>
            <w:t>Jurnal Ilmu Manajemen Vol. 2 No.3</w:t>
          </w:r>
          <w:r w:rsidRPr="00A65B6D">
            <w:rPr>
              <w:rFonts w:ascii="Times New Roman" w:hAnsi="Times New Roman" w:cs="Times New Roman"/>
              <w:noProof/>
              <w:sz w:val="20"/>
              <w:szCs w:val="20"/>
            </w:rPr>
            <w:t xml:space="preserve"> , 759-770.</w:t>
          </w:r>
        </w:p>
        <w:p w:rsidR="00A65B6D" w:rsidRPr="00410A7D" w:rsidRDefault="00A65B6D" w:rsidP="00A65B6D">
          <w:pPr>
            <w:shd w:val="clear" w:color="auto" w:fill="FFFFFF" w:themeFill="background1"/>
            <w:ind w:left="567"/>
            <w:jc w:val="both"/>
            <w:rPr>
              <w:sz w:val="24"/>
              <w:szCs w:val="24"/>
              <w:lang w:val="id-ID"/>
            </w:rPr>
          </w:pPr>
          <w:r w:rsidRPr="00A65B6D">
            <w:rPr>
              <w:sz w:val="20"/>
              <w:szCs w:val="20"/>
            </w:rPr>
            <w:fldChar w:fldCharType="end"/>
          </w:r>
        </w:p>
        <w:p w:rsidR="00A65B6D" w:rsidRPr="002A2167" w:rsidRDefault="00A65B6D" w:rsidP="00A65B6D">
          <w:pPr>
            <w:jc w:val="both"/>
            <w:rPr>
              <w:sz w:val="24"/>
              <w:szCs w:val="24"/>
              <w:lang w:val="id-ID"/>
            </w:rPr>
          </w:pPr>
        </w:p>
        <w:p w:rsidR="00FB4C2F" w:rsidRPr="00A65B6D" w:rsidRDefault="00A65B6D" w:rsidP="00A65B6D">
          <w:pPr>
            <w:tabs>
              <w:tab w:val="left" w:pos="1013"/>
              <w:tab w:val="left" w:pos="1014"/>
            </w:tabs>
            <w:ind w:left="158" w:right="249"/>
            <w:rPr>
              <w:sz w:val="20"/>
            </w:rPr>
          </w:pPr>
        </w:p>
      </w:sdtContent>
    </w:sdt>
    <w:sectPr w:rsidR="00FB4C2F" w:rsidRPr="00A65B6D" w:rsidSect="00FB4C2F">
      <w:headerReference w:type="default" r:id="rId22"/>
      <w:pgSz w:w="11930" w:h="16850"/>
      <w:pgMar w:top="1300" w:right="1220" w:bottom="280" w:left="1260" w:header="533"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C68" w:rsidRDefault="00EF5C68" w:rsidP="00FB4C2F">
      <w:r>
        <w:separator/>
      </w:r>
    </w:p>
  </w:endnote>
  <w:endnote w:type="continuationSeparator" w:id="1">
    <w:p w:rsidR="00EF5C68" w:rsidRDefault="00EF5C68" w:rsidP="00FB4C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jaVu Sans">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EC" w:rsidRDefault="00BA51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EC" w:rsidRDefault="00BA51E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EC" w:rsidRDefault="00BA51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C68" w:rsidRDefault="00EF5C68" w:rsidP="00FB4C2F">
      <w:r>
        <w:separator/>
      </w:r>
    </w:p>
  </w:footnote>
  <w:footnote w:type="continuationSeparator" w:id="1">
    <w:p w:rsidR="00EF5C68" w:rsidRDefault="00EF5C68" w:rsidP="00FB4C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EC" w:rsidRDefault="00BA51E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B6D" w:rsidRDefault="00A65B6D">
    <w:pPr>
      <w:pStyle w:val="BodyText"/>
      <w:spacing w:line="14" w:lineRule="auto"/>
      <w:ind w:left="0"/>
    </w:pPr>
    <w:r w:rsidRPr="005403EB">
      <w:pict>
        <v:shapetype id="_x0000_t202" coordsize="21600,21600" o:spt="202" path="m,l,21600r21600,l21600,xe">
          <v:stroke joinstyle="miter"/>
          <v:path gradientshapeok="t" o:connecttype="rect"/>
        </v:shapetype>
        <v:shape id="_x0000_s2054" type="#_x0000_t202" style="position:absolute;margin-left:43.75pt;margin-top:26.9pt;width:67.65pt;height:10.75pt;z-index:-20968;mso-position-horizontal-relative:page;mso-position-vertical-relative:page" filled="f" stroked="f">
          <v:textbox inset="0,0,0,0">
            <w:txbxContent>
              <w:p w:rsidR="00A65B6D" w:rsidRDefault="00A65B6D">
                <w:pPr>
                  <w:spacing w:before="20"/>
                  <w:ind w:left="20"/>
                  <w:rPr>
                    <w:rFonts w:ascii="DejaVu Sans"/>
                    <w:b/>
                    <w:sz w:val="15"/>
                  </w:rPr>
                </w:pPr>
              </w:p>
            </w:txbxContent>
          </v:textbox>
          <w10:wrap anchorx="page" anchory="page"/>
        </v:shape>
      </w:pict>
    </w:r>
    <w:r w:rsidRPr="005403EB">
      <w:pict>
        <v:shape id="_x0000_s2053" type="#_x0000_t202" style="position:absolute;margin-left:304.85pt;margin-top:26.9pt;width:248.4pt;height:10.75pt;z-index:-20944;mso-position-horizontal-relative:page;mso-position-vertical-relative:page" filled="f" stroked="f">
          <v:textbox inset="0,0,0,0">
            <w:txbxContent>
              <w:p w:rsidR="00A65B6D" w:rsidRDefault="00A65B6D">
                <w:pPr>
                  <w:spacing w:before="20"/>
                  <w:ind w:left="20"/>
                  <w:rPr>
                    <w:rFonts w:ascii="DejaVu Sans"/>
                    <w:b/>
                    <w:sz w:val="15"/>
                  </w:rPr>
                </w:pP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EC" w:rsidRDefault="00BA51E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B6D" w:rsidRDefault="00A65B6D">
    <w:pPr>
      <w:pStyle w:val="BodyText"/>
      <w:spacing w:line="14" w:lineRule="auto"/>
      <w:ind w:left="0"/>
    </w:pPr>
    <w:r w:rsidRPr="005403EB">
      <w:pict>
        <v:shapetype id="_x0000_t202" coordsize="21600,21600" o:spt="202" path="m,l,21600r21600,l21600,xe">
          <v:stroke joinstyle="miter"/>
          <v:path gradientshapeok="t" o:connecttype="rect"/>
        </v:shapetype>
        <v:shape id="_x0000_s2052" type="#_x0000_t202" style="position:absolute;margin-left:43.75pt;margin-top:26.9pt;width:67.65pt;height:10.75pt;z-index:-20920;mso-position-horizontal-relative:page;mso-position-vertical-relative:page" filled="f" stroked="f">
          <v:textbox inset="0,0,0,0">
            <w:txbxContent>
              <w:p w:rsidR="00A65B6D" w:rsidRDefault="00A65B6D">
                <w:pPr>
                  <w:spacing w:before="20"/>
                  <w:ind w:left="20"/>
                  <w:rPr>
                    <w:rFonts w:ascii="DejaVu Sans"/>
                    <w:b/>
                    <w:sz w:val="15"/>
                  </w:rPr>
                </w:pPr>
                <w:r>
                  <w:rPr>
                    <w:rFonts w:ascii="DejaVu Sans"/>
                    <w:b/>
                    <w:w w:val="95"/>
                    <w:sz w:val="15"/>
                  </w:rPr>
                  <w:t>ISSN</w:t>
                </w:r>
                <w:r>
                  <w:rPr>
                    <w:rFonts w:ascii="DejaVu Sans"/>
                    <w:b/>
                    <w:spacing w:val="-32"/>
                    <w:w w:val="95"/>
                    <w:sz w:val="15"/>
                  </w:rPr>
                  <w:t xml:space="preserve"> </w:t>
                </w:r>
                <w:r>
                  <w:rPr>
                    <w:rFonts w:ascii="DejaVu Sans"/>
                    <w:b/>
                    <w:w w:val="95"/>
                    <w:sz w:val="15"/>
                  </w:rPr>
                  <w:t>:</w:t>
                </w:r>
                <w:r>
                  <w:rPr>
                    <w:rFonts w:ascii="DejaVu Sans"/>
                    <w:b/>
                    <w:spacing w:val="-31"/>
                    <w:w w:val="95"/>
                    <w:sz w:val="15"/>
                  </w:rPr>
                  <w:t xml:space="preserve"> </w:t>
                </w:r>
                <w:r>
                  <w:rPr>
                    <w:rFonts w:ascii="DejaVu Sans"/>
                    <w:b/>
                    <w:w w:val="95"/>
                    <w:sz w:val="15"/>
                  </w:rPr>
                  <w:t>2355-9357</w:t>
                </w:r>
              </w:p>
            </w:txbxContent>
          </v:textbox>
          <w10:wrap anchorx="page" anchory="page"/>
        </v:shape>
      </w:pict>
    </w:r>
    <w:r w:rsidRPr="005403EB">
      <w:pict>
        <v:shape id="_x0000_s2051" type="#_x0000_t202" style="position:absolute;margin-left:304.85pt;margin-top:26.9pt;width:247.4pt;height:10.75pt;z-index:-20896;mso-position-horizontal-relative:page;mso-position-vertical-relative:page" filled="f" stroked="f">
          <v:textbox inset="0,0,0,0">
            <w:txbxContent>
              <w:p w:rsidR="00A65B6D" w:rsidRDefault="00A65B6D">
                <w:pPr>
                  <w:spacing w:before="20"/>
                  <w:ind w:left="20"/>
                  <w:rPr>
                    <w:rFonts w:ascii="DejaVu Sans"/>
                    <w:b/>
                    <w:sz w:val="15"/>
                  </w:rPr>
                </w:pPr>
                <w:r>
                  <w:rPr>
                    <w:rFonts w:ascii="DejaVu Sans"/>
                    <w:b/>
                    <w:w w:val="95"/>
                    <w:sz w:val="15"/>
                  </w:rPr>
                  <w:t>e-Proceeding</w:t>
                </w:r>
                <w:r>
                  <w:rPr>
                    <w:rFonts w:ascii="DejaVu Sans"/>
                    <w:b/>
                    <w:spacing w:val="-28"/>
                    <w:w w:val="95"/>
                    <w:sz w:val="15"/>
                  </w:rPr>
                  <w:t xml:space="preserve"> </w:t>
                </w:r>
                <w:r>
                  <w:rPr>
                    <w:rFonts w:ascii="DejaVu Sans"/>
                    <w:b/>
                    <w:w w:val="95"/>
                    <w:sz w:val="15"/>
                  </w:rPr>
                  <w:t>of</w:t>
                </w:r>
                <w:r>
                  <w:rPr>
                    <w:rFonts w:ascii="DejaVu Sans"/>
                    <w:b/>
                    <w:spacing w:val="-28"/>
                    <w:w w:val="95"/>
                    <w:sz w:val="15"/>
                  </w:rPr>
                  <w:t xml:space="preserve"> </w:t>
                </w:r>
                <w:r>
                  <w:rPr>
                    <w:rFonts w:ascii="DejaVu Sans"/>
                    <w:b/>
                    <w:w w:val="95"/>
                    <w:sz w:val="15"/>
                  </w:rPr>
                  <w:t>Management</w:t>
                </w:r>
                <w:r>
                  <w:rPr>
                    <w:rFonts w:ascii="DejaVu Sans"/>
                    <w:b/>
                    <w:spacing w:val="-28"/>
                    <w:w w:val="95"/>
                    <w:sz w:val="15"/>
                  </w:rPr>
                  <w:t xml:space="preserve"> </w:t>
                </w:r>
                <w:r>
                  <w:rPr>
                    <w:rFonts w:ascii="DejaVu Sans"/>
                    <w:b/>
                    <w:w w:val="95"/>
                    <w:sz w:val="15"/>
                  </w:rPr>
                  <w:t>:</w:t>
                </w:r>
                <w:r>
                  <w:rPr>
                    <w:rFonts w:ascii="DejaVu Sans"/>
                    <w:b/>
                    <w:spacing w:val="-28"/>
                    <w:w w:val="95"/>
                    <w:sz w:val="15"/>
                  </w:rPr>
                  <w:t xml:space="preserve"> </w:t>
                </w:r>
                <w:r>
                  <w:rPr>
                    <w:rFonts w:ascii="DejaVu Sans"/>
                    <w:b/>
                    <w:w w:val="95"/>
                    <w:sz w:val="15"/>
                  </w:rPr>
                  <w:t>Vol.3,</w:t>
                </w:r>
                <w:r>
                  <w:rPr>
                    <w:rFonts w:ascii="DejaVu Sans"/>
                    <w:b/>
                    <w:spacing w:val="-28"/>
                    <w:w w:val="95"/>
                    <w:sz w:val="15"/>
                  </w:rPr>
                  <w:t xml:space="preserve"> </w:t>
                </w:r>
                <w:r>
                  <w:rPr>
                    <w:rFonts w:ascii="DejaVu Sans"/>
                    <w:b/>
                    <w:w w:val="95"/>
                    <w:sz w:val="15"/>
                  </w:rPr>
                  <w:t>No.1</w:t>
                </w:r>
                <w:r>
                  <w:rPr>
                    <w:rFonts w:ascii="DejaVu Sans"/>
                    <w:b/>
                    <w:spacing w:val="-28"/>
                    <w:w w:val="95"/>
                    <w:sz w:val="15"/>
                  </w:rPr>
                  <w:t xml:space="preserve"> </w:t>
                </w:r>
                <w:r>
                  <w:rPr>
                    <w:rFonts w:ascii="DejaVu Sans"/>
                    <w:b/>
                    <w:w w:val="95"/>
                    <w:sz w:val="15"/>
                  </w:rPr>
                  <w:t>April</w:t>
                </w:r>
                <w:r>
                  <w:rPr>
                    <w:rFonts w:ascii="DejaVu Sans"/>
                    <w:b/>
                    <w:spacing w:val="-28"/>
                    <w:w w:val="95"/>
                    <w:sz w:val="15"/>
                  </w:rPr>
                  <w:t xml:space="preserve"> </w:t>
                </w:r>
                <w:r>
                  <w:rPr>
                    <w:rFonts w:ascii="DejaVu Sans"/>
                    <w:b/>
                    <w:w w:val="95"/>
                    <w:sz w:val="15"/>
                  </w:rPr>
                  <w:t>2016</w:t>
                </w:r>
                <w:r>
                  <w:rPr>
                    <w:rFonts w:ascii="DejaVu Sans"/>
                    <w:b/>
                    <w:spacing w:val="-28"/>
                    <w:w w:val="95"/>
                    <w:sz w:val="15"/>
                  </w:rPr>
                  <w:t xml:space="preserve"> </w:t>
                </w:r>
                <w:r>
                  <w:rPr>
                    <w:rFonts w:ascii="DejaVu Sans"/>
                    <w:b/>
                    <w:w w:val="95"/>
                    <w:sz w:val="15"/>
                  </w:rPr>
                  <w:t>|</w:t>
                </w:r>
                <w:r>
                  <w:rPr>
                    <w:rFonts w:ascii="DejaVu Sans"/>
                    <w:b/>
                    <w:spacing w:val="-28"/>
                    <w:w w:val="95"/>
                    <w:sz w:val="15"/>
                  </w:rPr>
                  <w:t xml:space="preserve"> </w:t>
                </w:r>
                <w:r>
                  <w:rPr>
                    <w:rFonts w:ascii="DejaVu Sans"/>
                    <w:b/>
                    <w:w w:val="95"/>
                    <w:sz w:val="15"/>
                  </w:rPr>
                  <w:t>Page</w:t>
                </w:r>
                <w:r>
                  <w:rPr>
                    <w:rFonts w:ascii="DejaVu Sans"/>
                    <w:b/>
                    <w:spacing w:val="-27"/>
                    <w:w w:val="95"/>
                    <w:sz w:val="15"/>
                  </w:rPr>
                  <w:t xml:space="preserve"> </w:t>
                </w:r>
                <w:r>
                  <w:rPr>
                    <w:rFonts w:ascii="DejaVu Sans"/>
                    <w:b/>
                    <w:w w:val="95"/>
                    <w:sz w:val="15"/>
                  </w:rPr>
                  <w:t>290</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B6D" w:rsidRDefault="00A65B6D">
    <w:pPr>
      <w:pStyle w:val="BodyText"/>
      <w:spacing w:line="14" w:lineRule="auto"/>
      <w:ind w:left="0"/>
    </w:pPr>
    <w:r w:rsidRPr="005403EB">
      <w:pict>
        <v:shapetype id="_x0000_t202" coordsize="21600,21600" o:spt="202" path="m,l,21600r21600,l21600,xe">
          <v:stroke joinstyle="miter"/>
          <v:path gradientshapeok="t" o:connecttype="rect"/>
        </v:shapetype>
        <v:shape id="_x0000_s2050" type="#_x0000_t202" style="position:absolute;margin-left:43.75pt;margin-top:26.9pt;width:67.65pt;height:10.75pt;z-index:-20872;mso-position-horizontal-relative:page;mso-position-vertical-relative:page" filled="f" stroked="f">
          <v:textbox inset="0,0,0,0">
            <w:txbxContent>
              <w:p w:rsidR="00A65B6D" w:rsidRDefault="00A65B6D">
                <w:pPr>
                  <w:spacing w:before="20"/>
                  <w:ind w:left="20"/>
                  <w:rPr>
                    <w:rFonts w:ascii="DejaVu Sans"/>
                    <w:b/>
                    <w:sz w:val="15"/>
                  </w:rPr>
                </w:pPr>
                <w:r>
                  <w:rPr>
                    <w:rFonts w:ascii="DejaVu Sans"/>
                    <w:b/>
                    <w:w w:val="95"/>
                    <w:sz w:val="15"/>
                  </w:rPr>
                  <w:t>ISSN</w:t>
                </w:r>
                <w:r>
                  <w:rPr>
                    <w:rFonts w:ascii="DejaVu Sans"/>
                    <w:b/>
                    <w:spacing w:val="-32"/>
                    <w:w w:val="95"/>
                    <w:sz w:val="15"/>
                  </w:rPr>
                  <w:t xml:space="preserve"> </w:t>
                </w:r>
                <w:r>
                  <w:rPr>
                    <w:rFonts w:ascii="DejaVu Sans"/>
                    <w:b/>
                    <w:w w:val="95"/>
                    <w:sz w:val="15"/>
                  </w:rPr>
                  <w:t>:</w:t>
                </w:r>
                <w:r>
                  <w:rPr>
                    <w:rFonts w:ascii="DejaVu Sans"/>
                    <w:b/>
                    <w:spacing w:val="-31"/>
                    <w:w w:val="95"/>
                    <w:sz w:val="15"/>
                  </w:rPr>
                  <w:t xml:space="preserve"> </w:t>
                </w:r>
                <w:r>
                  <w:rPr>
                    <w:rFonts w:ascii="DejaVu Sans"/>
                    <w:b/>
                    <w:w w:val="95"/>
                    <w:sz w:val="15"/>
                  </w:rPr>
                  <w:t>2355-9357</w:t>
                </w:r>
              </w:p>
            </w:txbxContent>
          </v:textbox>
          <w10:wrap anchorx="page" anchory="page"/>
        </v:shape>
      </w:pict>
    </w:r>
    <w:r w:rsidRPr="005403EB">
      <w:pict>
        <v:shape id="_x0000_s2049" type="#_x0000_t202" style="position:absolute;margin-left:304.85pt;margin-top:26.9pt;width:248.4pt;height:10.75pt;z-index:-20848;mso-position-horizontal-relative:page;mso-position-vertical-relative:page" filled="f" stroked="f">
          <v:textbox inset="0,0,0,0">
            <w:txbxContent>
              <w:p w:rsidR="00A65B6D" w:rsidRDefault="00A65B6D">
                <w:pPr>
                  <w:spacing w:before="20"/>
                  <w:ind w:left="20"/>
                  <w:rPr>
                    <w:rFonts w:ascii="DejaVu Sans"/>
                    <w:b/>
                    <w:sz w:val="15"/>
                  </w:rPr>
                </w:pPr>
                <w:r>
                  <w:rPr>
                    <w:rFonts w:ascii="DejaVu Sans"/>
                    <w:b/>
                    <w:w w:val="95"/>
                    <w:sz w:val="15"/>
                  </w:rPr>
                  <w:t>e-Proceeding</w:t>
                </w:r>
                <w:r>
                  <w:rPr>
                    <w:rFonts w:ascii="DejaVu Sans"/>
                    <w:b/>
                    <w:spacing w:val="-27"/>
                    <w:w w:val="95"/>
                    <w:sz w:val="15"/>
                  </w:rPr>
                  <w:t xml:space="preserve"> </w:t>
                </w:r>
                <w:r>
                  <w:rPr>
                    <w:rFonts w:ascii="DejaVu Sans"/>
                    <w:b/>
                    <w:w w:val="95"/>
                    <w:sz w:val="15"/>
                  </w:rPr>
                  <w:t>of</w:t>
                </w:r>
                <w:r>
                  <w:rPr>
                    <w:rFonts w:ascii="DejaVu Sans"/>
                    <w:b/>
                    <w:spacing w:val="-27"/>
                    <w:w w:val="95"/>
                    <w:sz w:val="15"/>
                  </w:rPr>
                  <w:t xml:space="preserve"> </w:t>
                </w:r>
                <w:r>
                  <w:rPr>
                    <w:rFonts w:ascii="DejaVu Sans"/>
                    <w:b/>
                    <w:w w:val="95"/>
                    <w:sz w:val="15"/>
                  </w:rPr>
                  <w:t>Management</w:t>
                </w:r>
                <w:r>
                  <w:rPr>
                    <w:rFonts w:ascii="DejaVu Sans"/>
                    <w:b/>
                    <w:spacing w:val="-27"/>
                    <w:w w:val="95"/>
                    <w:sz w:val="15"/>
                  </w:rPr>
                  <w:t xml:space="preserve"> </w:t>
                </w:r>
                <w:r>
                  <w:rPr>
                    <w:rFonts w:ascii="DejaVu Sans"/>
                    <w:b/>
                    <w:w w:val="95"/>
                    <w:sz w:val="15"/>
                  </w:rPr>
                  <w:t>:</w:t>
                </w:r>
                <w:r>
                  <w:rPr>
                    <w:rFonts w:ascii="DejaVu Sans"/>
                    <w:b/>
                    <w:spacing w:val="-27"/>
                    <w:w w:val="95"/>
                    <w:sz w:val="15"/>
                  </w:rPr>
                  <w:t xml:space="preserve"> </w:t>
                </w:r>
                <w:r>
                  <w:rPr>
                    <w:rFonts w:ascii="DejaVu Sans"/>
                    <w:b/>
                    <w:w w:val="95"/>
                    <w:sz w:val="15"/>
                  </w:rPr>
                  <w:t>Vol.3,</w:t>
                </w:r>
                <w:r>
                  <w:rPr>
                    <w:rFonts w:ascii="DejaVu Sans"/>
                    <w:b/>
                    <w:spacing w:val="-27"/>
                    <w:w w:val="95"/>
                    <w:sz w:val="15"/>
                  </w:rPr>
                  <w:t xml:space="preserve"> </w:t>
                </w:r>
                <w:r>
                  <w:rPr>
                    <w:rFonts w:ascii="DejaVu Sans"/>
                    <w:b/>
                    <w:w w:val="95"/>
                    <w:sz w:val="15"/>
                  </w:rPr>
                  <w:t>No.1</w:t>
                </w:r>
                <w:r>
                  <w:rPr>
                    <w:rFonts w:ascii="DejaVu Sans"/>
                    <w:b/>
                    <w:spacing w:val="-27"/>
                    <w:w w:val="95"/>
                    <w:sz w:val="15"/>
                  </w:rPr>
                  <w:t xml:space="preserve"> </w:t>
                </w:r>
                <w:r>
                  <w:rPr>
                    <w:rFonts w:ascii="DejaVu Sans"/>
                    <w:b/>
                    <w:w w:val="95"/>
                    <w:sz w:val="15"/>
                  </w:rPr>
                  <w:t>April</w:t>
                </w:r>
                <w:r>
                  <w:rPr>
                    <w:rFonts w:ascii="DejaVu Sans"/>
                    <w:b/>
                    <w:spacing w:val="-27"/>
                    <w:w w:val="95"/>
                    <w:sz w:val="15"/>
                  </w:rPr>
                  <w:t xml:space="preserve"> </w:t>
                </w:r>
                <w:r>
                  <w:rPr>
                    <w:rFonts w:ascii="DejaVu Sans"/>
                    <w:b/>
                    <w:w w:val="95"/>
                    <w:sz w:val="15"/>
                  </w:rPr>
                  <w:t>2016</w:t>
                </w:r>
                <w:r>
                  <w:rPr>
                    <w:rFonts w:ascii="DejaVu Sans"/>
                    <w:b/>
                    <w:spacing w:val="-27"/>
                    <w:w w:val="95"/>
                    <w:sz w:val="15"/>
                  </w:rPr>
                  <w:t xml:space="preserve"> </w:t>
                </w:r>
                <w:r>
                  <w:rPr>
                    <w:rFonts w:ascii="DejaVu Sans"/>
                    <w:b/>
                    <w:w w:val="95"/>
                    <w:sz w:val="15"/>
                  </w:rPr>
                  <w:t>|</w:t>
                </w:r>
                <w:r>
                  <w:rPr>
                    <w:rFonts w:ascii="DejaVu Sans"/>
                    <w:b/>
                    <w:spacing w:val="-27"/>
                    <w:w w:val="95"/>
                    <w:sz w:val="15"/>
                  </w:rPr>
                  <w:t xml:space="preserve"> </w:t>
                </w:r>
                <w:r>
                  <w:rPr>
                    <w:rFonts w:ascii="DejaVu Sans"/>
                    <w:b/>
                    <w:w w:val="95"/>
                    <w:sz w:val="15"/>
                  </w:rPr>
                  <w:t>Page</w:t>
                </w:r>
                <w:r>
                  <w:rPr>
                    <w:rFonts w:ascii="DejaVu Sans"/>
                    <w:b/>
                    <w:spacing w:val="-27"/>
                    <w:w w:val="95"/>
                    <w:sz w:val="15"/>
                  </w:rPr>
                  <w:t xml:space="preserve"> </w:t>
                </w:r>
                <w:r>
                  <w:fldChar w:fldCharType="begin"/>
                </w:r>
                <w:r>
                  <w:rPr>
                    <w:rFonts w:ascii="DejaVu Sans"/>
                    <w:b/>
                    <w:w w:val="95"/>
                    <w:sz w:val="15"/>
                  </w:rPr>
                  <w:instrText xml:space="preserve"> PAGE </w:instrText>
                </w:r>
                <w:r>
                  <w:fldChar w:fldCharType="separate"/>
                </w:r>
                <w:r w:rsidR="00BA51EC">
                  <w:rPr>
                    <w:rFonts w:ascii="DejaVu Sans"/>
                    <w:b/>
                    <w:noProof/>
                    <w:w w:val="95"/>
                    <w:sz w:val="15"/>
                  </w:rPr>
                  <w:t>8</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3276E"/>
    <w:multiLevelType w:val="hybridMultilevel"/>
    <w:tmpl w:val="B128F7B6"/>
    <w:lvl w:ilvl="0" w:tplc="A136FD5E">
      <w:start w:val="1"/>
      <w:numFmt w:val="decimal"/>
      <w:lvlText w:val="%1."/>
      <w:lvlJc w:val="left"/>
      <w:pPr>
        <w:ind w:left="1229" w:hanging="360"/>
      </w:pPr>
      <w:rPr>
        <w:rFonts w:ascii="Times New Roman" w:eastAsia="Times New Roman" w:hAnsi="Times New Roman" w:cs="Times New Roman" w:hint="default"/>
        <w:spacing w:val="0"/>
        <w:w w:val="99"/>
        <w:sz w:val="20"/>
        <w:szCs w:val="20"/>
      </w:rPr>
    </w:lvl>
    <w:lvl w:ilvl="1" w:tplc="8D1CDB7A">
      <w:start w:val="1"/>
      <w:numFmt w:val="decimal"/>
      <w:lvlText w:val="%2."/>
      <w:lvlJc w:val="left"/>
      <w:pPr>
        <w:ind w:left="1373" w:hanging="348"/>
      </w:pPr>
      <w:rPr>
        <w:rFonts w:ascii="Times New Roman" w:eastAsia="Times New Roman" w:hAnsi="Times New Roman" w:cs="Times New Roman" w:hint="default"/>
        <w:spacing w:val="0"/>
        <w:w w:val="99"/>
        <w:sz w:val="20"/>
        <w:szCs w:val="20"/>
      </w:rPr>
    </w:lvl>
    <w:lvl w:ilvl="2" w:tplc="64822AD2">
      <w:numFmt w:val="bullet"/>
      <w:lvlText w:val="•"/>
      <w:lvlJc w:val="left"/>
      <w:pPr>
        <w:ind w:left="2275" w:hanging="348"/>
      </w:pPr>
      <w:rPr>
        <w:rFonts w:hint="default"/>
      </w:rPr>
    </w:lvl>
    <w:lvl w:ilvl="3" w:tplc="01AC66D2">
      <w:numFmt w:val="bullet"/>
      <w:lvlText w:val="•"/>
      <w:lvlJc w:val="left"/>
      <w:pPr>
        <w:ind w:left="3171" w:hanging="348"/>
      </w:pPr>
      <w:rPr>
        <w:rFonts w:hint="default"/>
      </w:rPr>
    </w:lvl>
    <w:lvl w:ilvl="4" w:tplc="0C0EE38A">
      <w:numFmt w:val="bullet"/>
      <w:lvlText w:val="•"/>
      <w:lvlJc w:val="left"/>
      <w:pPr>
        <w:ind w:left="4066" w:hanging="348"/>
      </w:pPr>
      <w:rPr>
        <w:rFonts w:hint="default"/>
      </w:rPr>
    </w:lvl>
    <w:lvl w:ilvl="5" w:tplc="E49CEF8A">
      <w:numFmt w:val="bullet"/>
      <w:lvlText w:val="•"/>
      <w:lvlJc w:val="left"/>
      <w:pPr>
        <w:ind w:left="4962" w:hanging="348"/>
      </w:pPr>
      <w:rPr>
        <w:rFonts w:hint="default"/>
      </w:rPr>
    </w:lvl>
    <w:lvl w:ilvl="6" w:tplc="49EC78A4">
      <w:numFmt w:val="bullet"/>
      <w:lvlText w:val="•"/>
      <w:lvlJc w:val="left"/>
      <w:pPr>
        <w:ind w:left="5858" w:hanging="348"/>
      </w:pPr>
      <w:rPr>
        <w:rFonts w:hint="default"/>
      </w:rPr>
    </w:lvl>
    <w:lvl w:ilvl="7" w:tplc="BB6CB16C">
      <w:numFmt w:val="bullet"/>
      <w:lvlText w:val="•"/>
      <w:lvlJc w:val="left"/>
      <w:pPr>
        <w:ind w:left="6753" w:hanging="348"/>
      </w:pPr>
      <w:rPr>
        <w:rFonts w:hint="default"/>
      </w:rPr>
    </w:lvl>
    <w:lvl w:ilvl="8" w:tplc="0974108E">
      <w:numFmt w:val="bullet"/>
      <w:lvlText w:val="•"/>
      <w:lvlJc w:val="left"/>
      <w:pPr>
        <w:ind w:left="7649" w:hanging="348"/>
      </w:pPr>
      <w:rPr>
        <w:rFonts w:hint="default"/>
      </w:rPr>
    </w:lvl>
  </w:abstractNum>
  <w:abstractNum w:abstractNumId="1">
    <w:nsid w:val="2E3B3E75"/>
    <w:multiLevelType w:val="hybridMultilevel"/>
    <w:tmpl w:val="93AE0B58"/>
    <w:lvl w:ilvl="0" w:tplc="923C7B38">
      <w:start w:val="1"/>
      <w:numFmt w:val="decimal"/>
      <w:lvlText w:val="[%1]"/>
      <w:lvlJc w:val="left"/>
      <w:pPr>
        <w:ind w:left="1013" w:hanging="855"/>
      </w:pPr>
      <w:rPr>
        <w:rFonts w:ascii="Times New Roman" w:eastAsia="Times New Roman" w:hAnsi="Times New Roman" w:cs="Times New Roman" w:hint="default"/>
        <w:b/>
        <w:bCs/>
        <w:w w:val="99"/>
        <w:sz w:val="20"/>
        <w:szCs w:val="20"/>
      </w:rPr>
    </w:lvl>
    <w:lvl w:ilvl="1" w:tplc="B344C5A6">
      <w:numFmt w:val="bullet"/>
      <w:lvlText w:val="•"/>
      <w:lvlJc w:val="left"/>
      <w:pPr>
        <w:ind w:left="1862" w:hanging="855"/>
      </w:pPr>
      <w:rPr>
        <w:rFonts w:hint="default"/>
      </w:rPr>
    </w:lvl>
    <w:lvl w:ilvl="2" w:tplc="ECD89A2C">
      <w:numFmt w:val="bullet"/>
      <w:lvlText w:val="•"/>
      <w:lvlJc w:val="left"/>
      <w:pPr>
        <w:ind w:left="2704" w:hanging="855"/>
      </w:pPr>
      <w:rPr>
        <w:rFonts w:hint="default"/>
      </w:rPr>
    </w:lvl>
    <w:lvl w:ilvl="3" w:tplc="07E05DB4">
      <w:numFmt w:val="bullet"/>
      <w:lvlText w:val="•"/>
      <w:lvlJc w:val="left"/>
      <w:pPr>
        <w:ind w:left="3546" w:hanging="855"/>
      </w:pPr>
      <w:rPr>
        <w:rFonts w:hint="default"/>
      </w:rPr>
    </w:lvl>
    <w:lvl w:ilvl="4" w:tplc="1A324AA8">
      <w:numFmt w:val="bullet"/>
      <w:lvlText w:val="•"/>
      <w:lvlJc w:val="left"/>
      <w:pPr>
        <w:ind w:left="4388" w:hanging="855"/>
      </w:pPr>
      <w:rPr>
        <w:rFonts w:hint="default"/>
      </w:rPr>
    </w:lvl>
    <w:lvl w:ilvl="5" w:tplc="865E4D6C">
      <w:numFmt w:val="bullet"/>
      <w:lvlText w:val="•"/>
      <w:lvlJc w:val="left"/>
      <w:pPr>
        <w:ind w:left="5230" w:hanging="855"/>
      </w:pPr>
      <w:rPr>
        <w:rFonts w:hint="default"/>
      </w:rPr>
    </w:lvl>
    <w:lvl w:ilvl="6" w:tplc="7F64B902">
      <w:numFmt w:val="bullet"/>
      <w:lvlText w:val="•"/>
      <w:lvlJc w:val="left"/>
      <w:pPr>
        <w:ind w:left="6072" w:hanging="855"/>
      </w:pPr>
      <w:rPr>
        <w:rFonts w:hint="default"/>
      </w:rPr>
    </w:lvl>
    <w:lvl w:ilvl="7" w:tplc="12DCC3D0">
      <w:numFmt w:val="bullet"/>
      <w:lvlText w:val="•"/>
      <w:lvlJc w:val="left"/>
      <w:pPr>
        <w:ind w:left="6914" w:hanging="855"/>
      </w:pPr>
      <w:rPr>
        <w:rFonts w:hint="default"/>
      </w:rPr>
    </w:lvl>
    <w:lvl w:ilvl="8" w:tplc="9C68AEE4">
      <w:numFmt w:val="bullet"/>
      <w:lvlText w:val="•"/>
      <w:lvlJc w:val="left"/>
      <w:pPr>
        <w:ind w:left="7756" w:hanging="855"/>
      </w:pPr>
      <w:rPr>
        <w:rFonts w:hint="default"/>
      </w:rPr>
    </w:lvl>
  </w:abstractNum>
  <w:abstractNum w:abstractNumId="2">
    <w:nsid w:val="2F114B79"/>
    <w:multiLevelType w:val="hybridMultilevel"/>
    <w:tmpl w:val="477CB3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43FC5A97"/>
    <w:multiLevelType w:val="hybridMultilevel"/>
    <w:tmpl w:val="5A447FCC"/>
    <w:lvl w:ilvl="0" w:tplc="21BCB304">
      <w:start w:val="1"/>
      <w:numFmt w:val="decimal"/>
      <w:lvlText w:val="%1."/>
      <w:lvlJc w:val="left"/>
      <w:pPr>
        <w:ind w:left="444" w:hanging="250"/>
      </w:pPr>
      <w:rPr>
        <w:rFonts w:ascii="Times New Roman" w:eastAsia="Times New Roman" w:hAnsi="Times New Roman" w:cs="Times New Roman" w:hint="default"/>
        <w:b/>
        <w:bCs/>
        <w:spacing w:val="0"/>
        <w:w w:val="99"/>
        <w:sz w:val="20"/>
        <w:szCs w:val="20"/>
      </w:rPr>
    </w:lvl>
    <w:lvl w:ilvl="1" w:tplc="2DAA3500">
      <w:start w:val="1"/>
      <w:numFmt w:val="lowerLetter"/>
      <w:lvlText w:val="%2."/>
      <w:lvlJc w:val="left"/>
      <w:pPr>
        <w:ind w:left="948" w:hanging="360"/>
      </w:pPr>
      <w:rPr>
        <w:rFonts w:ascii="Times New Roman" w:eastAsia="Times New Roman" w:hAnsi="Times New Roman" w:cs="Times New Roman" w:hint="default"/>
        <w:w w:val="99"/>
        <w:sz w:val="20"/>
        <w:szCs w:val="20"/>
      </w:rPr>
    </w:lvl>
    <w:lvl w:ilvl="2" w:tplc="A8BCE6E2">
      <w:start w:val="1"/>
      <w:numFmt w:val="lowerLetter"/>
      <w:lvlText w:val="%3."/>
      <w:lvlJc w:val="left"/>
      <w:pPr>
        <w:ind w:left="1229" w:hanging="360"/>
      </w:pPr>
      <w:rPr>
        <w:rFonts w:ascii="Times New Roman" w:eastAsia="Times New Roman" w:hAnsi="Times New Roman" w:cs="Times New Roman" w:hint="default"/>
        <w:w w:val="99"/>
        <w:sz w:val="20"/>
        <w:szCs w:val="20"/>
      </w:rPr>
    </w:lvl>
    <w:lvl w:ilvl="3" w:tplc="FD6EFEE2">
      <w:numFmt w:val="bullet"/>
      <w:lvlText w:val="•"/>
      <w:lvlJc w:val="left"/>
      <w:pPr>
        <w:ind w:left="2247" w:hanging="360"/>
      </w:pPr>
      <w:rPr>
        <w:rFonts w:hint="default"/>
      </w:rPr>
    </w:lvl>
    <w:lvl w:ilvl="4" w:tplc="BD8C1A1C">
      <w:numFmt w:val="bullet"/>
      <w:lvlText w:val="•"/>
      <w:lvlJc w:val="left"/>
      <w:pPr>
        <w:ind w:left="3275" w:hanging="360"/>
      </w:pPr>
      <w:rPr>
        <w:rFonts w:hint="default"/>
      </w:rPr>
    </w:lvl>
    <w:lvl w:ilvl="5" w:tplc="FA00681C">
      <w:numFmt w:val="bullet"/>
      <w:lvlText w:val="•"/>
      <w:lvlJc w:val="left"/>
      <w:pPr>
        <w:ind w:left="4302" w:hanging="360"/>
      </w:pPr>
      <w:rPr>
        <w:rFonts w:hint="default"/>
      </w:rPr>
    </w:lvl>
    <w:lvl w:ilvl="6" w:tplc="94DAE60C">
      <w:numFmt w:val="bullet"/>
      <w:lvlText w:val="•"/>
      <w:lvlJc w:val="left"/>
      <w:pPr>
        <w:ind w:left="5330" w:hanging="360"/>
      </w:pPr>
      <w:rPr>
        <w:rFonts w:hint="default"/>
      </w:rPr>
    </w:lvl>
    <w:lvl w:ilvl="7" w:tplc="FF1EC72E">
      <w:numFmt w:val="bullet"/>
      <w:lvlText w:val="•"/>
      <w:lvlJc w:val="left"/>
      <w:pPr>
        <w:ind w:left="6358" w:hanging="360"/>
      </w:pPr>
      <w:rPr>
        <w:rFonts w:hint="default"/>
      </w:rPr>
    </w:lvl>
    <w:lvl w:ilvl="8" w:tplc="E1A87B42">
      <w:numFmt w:val="bullet"/>
      <w:lvlText w:val="•"/>
      <w:lvlJc w:val="left"/>
      <w:pPr>
        <w:ind w:left="7385" w:hanging="360"/>
      </w:pPr>
      <w:rPr>
        <w:rFonts w:hint="default"/>
      </w:rPr>
    </w:lvl>
  </w:abstractNum>
  <w:abstractNum w:abstractNumId="4">
    <w:nsid w:val="73BA09CD"/>
    <w:multiLevelType w:val="hybridMultilevel"/>
    <w:tmpl w:val="39DAEA8C"/>
    <w:lvl w:ilvl="0" w:tplc="866A2FCE">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75A5061D"/>
    <w:multiLevelType w:val="hybridMultilevel"/>
    <w:tmpl w:val="4A1A576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ulTrailSpace/>
  </w:compat>
  <w:rsids>
    <w:rsidRoot w:val="00FB4C2F"/>
    <w:rsid w:val="000078DC"/>
    <w:rsid w:val="00315D27"/>
    <w:rsid w:val="003238B7"/>
    <w:rsid w:val="00387E94"/>
    <w:rsid w:val="00443587"/>
    <w:rsid w:val="004B7B29"/>
    <w:rsid w:val="00522EB5"/>
    <w:rsid w:val="005403EB"/>
    <w:rsid w:val="00927771"/>
    <w:rsid w:val="009B3F02"/>
    <w:rsid w:val="00A65B6D"/>
    <w:rsid w:val="00A85B64"/>
    <w:rsid w:val="00A97128"/>
    <w:rsid w:val="00BA51EC"/>
    <w:rsid w:val="00C37AC2"/>
    <w:rsid w:val="00E572A3"/>
    <w:rsid w:val="00E9073C"/>
    <w:rsid w:val="00EC6E85"/>
    <w:rsid w:val="00EF5C68"/>
    <w:rsid w:val="00F54898"/>
    <w:rsid w:val="00FB4C2F"/>
    <w:rsid w:val="00FD412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B4C2F"/>
    <w:rPr>
      <w:rFonts w:ascii="Times New Roman" w:eastAsia="Times New Roman" w:hAnsi="Times New Roman" w:cs="Times New Roman"/>
    </w:rPr>
  </w:style>
  <w:style w:type="paragraph" w:styleId="Heading1">
    <w:name w:val="heading 1"/>
    <w:basedOn w:val="Normal"/>
    <w:uiPriority w:val="1"/>
    <w:qFormat/>
    <w:rsid w:val="00FB4C2F"/>
    <w:pPr>
      <w:spacing w:before="89"/>
      <w:ind w:left="159" w:right="200"/>
      <w:jc w:val="center"/>
      <w:outlineLvl w:val="0"/>
    </w:pPr>
    <w:rPr>
      <w:b/>
      <w:bCs/>
      <w:sz w:val="24"/>
      <w:szCs w:val="24"/>
    </w:rPr>
  </w:style>
  <w:style w:type="paragraph" w:styleId="Heading2">
    <w:name w:val="heading 2"/>
    <w:basedOn w:val="Normal"/>
    <w:uiPriority w:val="1"/>
    <w:qFormat/>
    <w:rsid w:val="00FB4C2F"/>
    <w:pPr>
      <w:ind w:left="444"/>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B4C2F"/>
    <w:pPr>
      <w:ind w:left="444"/>
    </w:pPr>
    <w:rPr>
      <w:sz w:val="20"/>
      <w:szCs w:val="20"/>
    </w:rPr>
  </w:style>
  <w:style w:type="paragraph" w:styleId="ListParagraph">
    <w:name w:val="List Paragraph"/>
    <w:aliases w:val="skripsi,Body Text Char1,Char Char2,List Paragraph2,List Paragraph1,spasi 2 taiiii,Body of text,gambar"/>
    <w:basedOn w:val="Normal"/>
    <w:link w:val="ListParagraphChar"/>
    <w:uiPriority w:val="34"/>
    <w:qFormat/>
    <w:rsid w:val="00FB4C2F"/>
    <w:pPr>
      <w:ind w:left="1013" w:hanging="360"/>
    </w:pPr>
  </w:style>
  <w:style w:type="paragraph" w:customStyle="1" w:styleId="TableParagraph">
    <w:name w:val="Table Paragraph"/>
    <w:basedOn w:val="Normal"/>
    <w:uiPriority w:val="1"/>
    <w:qFormat/>
    <w:rsid w:val="00FB4C2F"/>
    <w:rPr>
      <w:rFonts w:ascii="Arial" w:eastAsia="Arial" w:hAnsi="Arial" w:cs="Arial"/>
    </w:rPr>
  </w:style>
  <w:style w:type="paragraph" w:customStyle="1" w:styleId="Default">
    <w:name w:val="Default"/>
    <w:rsid w:val="003238B7"/>
    <w:pPr>
      <w:widowControl/>
      <w:adjustRightInd w:val="0"/>
    </w:pPr>
    <w:rPr>
      <w:rFonts w:ascii="Times New Roman" w:hAnsi="Times New Roman" w:cs="Times New Roman"/>
      <w:color w:val="000000"/>
      <w:sz w:val="24"/>
      <w:szCs w:val="24"/>
      <w:lang w:val="id-ID"/>
    </w:rPr>
  </w:style>
  <w:style w:type="paragraph" w:styleId="BalloonText">
    <w:name w:val="Balloon Text"/>
    <w:basedOn w:val="Normal"/>
    <w:link w:val="BalloonTextChar"/>
    <w:uiPriority w:val="99"/>
    <w:semiHidden/>
    <w:unhideWhenUsed/>
    <w:rsid w:val="003238B7"/>
    <w:rPr>
      <w:rFonts w:ascii="Tahoma" w:hAnsi="Tahoma" w:cs="Tahoma"/>
      <w:sz w:val="16"/>
      <w:szCs w:val="16"/>
    </w:rPr>
  </w:style>
  <w:style w:type="character" w:customStyle="1" w:styleId="BalloonTextChar">
    <w:name w:val="Balloon Text Char"/>
    <w:basedOn w:val="DefaultParagraphFont"/>
    <w:link w:val="BalloonText"/>
    <w:uiPriority w:val="99"/>
    <w:semiHidden/>
    <w:rsid w:val="003238B7"/>
    <w:rPr>
      <w:rFonts w:ascii="Tahoma" w:eastAsia="Times New Roman" w:hAnsi="Tahoma" w:cs="Tahoma"/>
      <w:sz w:val="16"/>
      <w:szCs w:val="16"/>
    </w:rPr>
  </w:style>
  <w:style w:type="character" w:styleId="Hyperlink">
    <w:name w:val="Hyperlink"/>
    <w:basedOn w:val="DefaultParagraphFont"/>
    <w:uiPriority w:val="99"/>
    <w:unhideWhenUsed/>
    <w:rsid w:val="00315D27"/>
    <w:rPr>
      <w:color w:val="0000FF" w:themeColor="hyperlink"/>
      <w:u w:val="single"/>
    </w:r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34"/>
    <w:rsid w:val="00E572A3"/>
    <w:rPr>
      <w:rFonts w:ascii="Times New Roman" w:eastAsia="Times New Roman" w:hAnsi="Times New Roman" w:cs="Times New Roman"/>
    </w:rPr>
  </w:style>
  <w:style w:type="table" w:styleId="TableGrid">
    <w:name w:val="Table Grid"/>
    <w:basedOn w:val="TableNormal"/>
    <w:uiPriority w:val="39"/>
    <w:rsid w:val="00927771"/>
    <w:pPr>
      <w:widowControl/>
      <w:autoSpaceDE/>
      <w:autoSpaceDN/>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A65B6D"/>
    <w:pPr>
      <w:widowControl/>
      <w:autoSpaceDE/>
      <w:autoSpaceDN/>
      <w:spacing w:after="200" w:line="276" w:lineRule="auto"/>
    </w:pPr>
    <w:rPr>
      <w:rFonts w:asciiTheme="minorHAnsi" w:eastAsiaTheme="minorHAnsi" w:hAnsiTheme="minorHAnsi" w:cstheme="minorBidi"/>
      <w:lang w:val="id-ID"/>
    </w:rPr>
  </w:style>
  <w:style w:type="paragraph" w:styleId="Header">
    <w:name w:val="header"/>
    <w:basedOn w:val="Normal"/>
    <w:link w:val="HeaderChar"/>
    <w:uiPriority w:val="99"/>
    <w:semiHidden/>
    <w:unhideWhenUsed/>
    <w:rsid w:val="00BA51EC"/>
    <w:pPr>
      <w:tabs>
        <w:tab w:val="center" w:pos="4513"/>
        <w:tab w:val="right" w:pos="9026"/>
      </w:tabs>
    </w:pPr>
  </w:style>
  <w:style w:type="character" w:customStyle="1" w:styleId="HeaderChar">
    <w:name w:val="Header Char"/>
    <w:basedOn w:val="DefaultParagraphFont"/>
    <w:link w:val="Header"/>
    <w:uiPriority w:val="99"/>
    <w:semiHidden/>
    <w:rsid w:val="00BA51EC"/>
    <w:rPr>
      <w:rFonts w:ascii="Times New Roman" w:eastAsia="Times New Roman" w:hAnsi="Times New Roman" w:cs="Times New Roman"/>
    </w:rPr>
  </w:style>
  <w:style w:type="paragraph" w:styleId="Footer">
    <w:name w:val="footer"/>
    <w:basedOn w:val="Normal"/>
    <w:link w:val="FooterChar"/>
    <w:uiPriority w:val="99"/>
    <w:semiHidden/>
    <w:unhideWhenUsed/>
    <w:rsid w:val="00BA51EC"/>
    <w:pPr>
      <w:tabs>
        <w:tab w:val="center" w:pos="4513"/>
        <w:tab w:val="right" w:pos="9026"/>
      </w:tabs>
    </w:pPr>
  </w:style>
  <w:style w:type="character" w:customStyle="1" w:styleId="FooterChar">
    <w:name w:val="Footer Char"/>
    <w:basedOn w:val="DefaultParagraphFont"/>
    <w:link w:val="Footer"/>
    <w:uiPriority w:val="99"/>
    <w:semiHidden/>
    <w:rsid w:val="00BA51EC"/>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bi.go.id" TargetMode="External"/><Relationship Id="rId13" Type="http://schemas.openxmlformats.org/officeDocument/2006/relationships/footer" Target="footer2.xml"/><Relationship Id="rId18" Type="http://schemas.openxmlformats.org/officeDocument/2006/relationships/hyperlink" Target="https://tirto.id/ojk-sektor-jasa-keuangan-dorong-pertumbuhan-ekonomi-2018-54-cDtt" TargetMode="External"/><Relationship Id="rId3" Type="http://schemas.openxmlformats.org/officeDocument/2006/relationships/styles" Target="styles.xml"/><Relationship Id="rId21" Type="http://schemas.openxmlformats.org/officeDocument/2006/relationships/hyperlink" Target="http://www.idx.co.id"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indonesia-investments.com/id/keuangan/angka-ekonomi-makro/produk-domestik-bruto-indonesia/item253"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bi.go.id/id/moneter/inflasi/pengenalan/Contents/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bi.go.id/id/moneter/bi-rate/penjelasan/Contents/Default.aspx" TargetMode="External"/><Relationship Id="rId4" Type="http://schemas.openxmlformats.org/officeDocument/2006/relationships/settings" Target="settings.xml"/><Relationship Id="rId9" Type="http://schemas.openxmlformats.org/officeDocument/2006/relationships/hyperlink" Target="http://www.idx.co.id" TargetMode="External"/><Relationship Id="rId14" Type="http://schemas.openxmlformats.org/officeDocument/2006/relationships/header" Target="header3.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Sam06</b:Tag>
    <b:SourceType>Book</b:SourceType>
    <b:Guid>{B6397D84-9202-4C71-8917-4152FCA43A3B}</b:Guid>
    <b:LCID>0</b:LCID>
    <b:Author>
      <b:Author>
        <b:NameList>
          <b:Person>
            <b:Last>Samsul</b:Last>
          </b:Person>
        </b:NameList>
      </b:Author>
    </b:Author>
    <b:Title> Pengantar Ilmu Ekonomi Makro dan Mikro. Edisi Pertama</b:Title>
    <b:Year>2006</b:Year>
    <b:City>Yogyakarta</b:City>
    <b:Publisher>BPFE</b:Publisher>
    <b:RefOrder>1</b:RefOrder>
  </b:Source>
  <b:Source>
    <b:Tag>Kal12</b:Tag>
    <b:SourceType>JournalArticle</b:SourceType>
    <b:Guid>{F1A9E417-2F99-4CB8-84C0-67C030114648}</b:Guid>
    <b:LCID>0</b:LCID>
    <b:Author>
      <b:Author>
        <b:NameList>
          <b:Person>
            <b:Last>Kalopo</b:Last>
            <b:First>T.Funso</b:First>
          </b:Person>
          <b:Person>
            <b:Last>Ateni</b:Last>
            <b:First>R.</b:First>
            <b:Middle>Kolade</b:Middle>
          </b:Person>
          <b:Person>
            <b:Last>Oke</b:Last>
            <b:First>M.</b:First>
            <b:Middle>Ojo</b:Middle>
          </b:Person>
        </b:NameList>
      </b:Author>
    </b:Author>
    <b:Title>Credit Risk and Commercial Bank's Performance in Nigeria: A Panel Model Approach.</b:Title>
    <b:Year>2012</b:Year>
    <b:JournalName>Australian Journal of Business and Management Research. Vol 02 </b:JournalName>
    <b:Pages>31-38</b:Pages>
    <b:RefOrder>2</b:RefOrder>
  </b:Source>
  <b:Source>
    <b:Tag>Den05</b:Tag>
    <b:SourceType>Book</b:SourceType>
    <b:Guid>{CDAF6168-59AE-47F5-A45B-B087512668B4}</b:Guid>
    <b:LCID>0</b:LCID>
    <b:Author>
      <b:Author>
        <b:NameList>
          <b:Person>
            <b:Last>Dendawijaya</b:Last>
            <b:First>Lukman</b:First>
            <b:Middle>Drs</b:Middle>
          </b:Person>
        </b:NameList>
      </b:Author>
    </b:Author>
    <b:Title>Manajemen Perbankan</b:Title>
    <b:Year>2005</b:Year>
    <b:City>Jakarta</b:City>
    <b:Publisher>Ghalia Indonesia</b:Publisher>
    <b:RefOrder>3</b:RefOrder>
  </b:Source>
  <b:Source>
    <b:Tag>Okt09</b:Tag>
    <b:SourceType>JournalArticle</b:SourceType>
    <b:Guid>{90DE3954-F6D4-4402-B5A0-3A92C5943A3D}</b:Guid>
    <b:LCID>0</b:LCID>
    <b:Author>
      <b:Author>
        <b:NameList>
          <b:Person>
            <b:Last>Oktavia</b:Last>
            <b:First>Linda</b:First>
            <b:Middle>D</b:Middle>
          </b:Person>
        </b:NameList>
      </b:Author>
    </b:Author>
    <b:Title>Pengaruh Suku Bunga BI, Nilai Tukar Rupiah dan Inflasi Terhadap Kinerja Keuangan Perusahaan Sebelum dan Sesudah Privatisasi (Studi Kasus Pada PT Telekomunikasi Indonesia Tbk)</b:Title>
    <b:JournalName>Jurnal Bisnis dan Manajemen</b:JournalName>
    <b:Year>2009</b:Year>
    <b:RefOrder>4</b:RefOrder>
  </b:Source>
  <b:Source>
    <b:Tag>Fat17</b:Tag>
    <b:SourceType>JournalArticle</b:SourceType>
    <b:Guid>{90B9F410-7996-49CB-8A2F-59FF8645B097}</b:Guid>
    <b:LCID>0</b:LCID>
    <b:Author>
      <b:Author>
        <b:NameList>
          <b:Person>
            <b:Last>Fathoni</b:Last>
            <b:First>Arif</b:First>
            <b:Middle>Bintang</b:Middle>
          </b:Person>
        </b:NameList>
      </b:Author>
    </b:Author>
    <b:Title>PENGARUH INFLASI, SUKU BUNGA DAN BOPO TERHADAP ROA PERBANKAN (Studi Pada Bank Umum Persero Periode 2013-2015)</b:Title>
    <b:JournalName>Jurnal Bisnis dan Manajemen</b:JournalName>
    <b:Year>2017</b:Year>
    <b:Pages>1-11</b:Pages>
    <b:RefOrder>5</b:RefOrder>
  </b:Source>
  <b:Source>
    <b:Tag>Adi16</b:Tag>
    <b:SourceType>JournalArticle</b:SourceType>
    <b:Guid>{70B604AB-7CE4-4A03-8DC2-62F8D6E05113}</b:Guid>
    <b:LCID>0</b:LCID>
    <b:Author>
      <b:Author>
        <b:NameList>
          <b:Person>
            <b:Last>Aditya</b:Last>
            <b:First>M.</b:First>
            <b:Middle>Fajar</b:Middle>
          </b:Person>
          <b:Person>
            <b:Last>Yunita</b:Last>
            <b:First>Irni</b:First>
          </b:Person>
          <b:Person>
            <b:Last>Trikartika</b:Last>
            <b:First>Tika</b:First>
          </b:Person>
        </b:NameList>
      </b:Author>
    </b:Author>
    <b:Title>ANALISIS PENGARUH INFLASI, NILAI TUKAR, DAN SUKU BUNGA BI TERHADAP PROFITABILITAS PERUSAHAAN (STUDI PADA PERUSAHAAN TELEKOMUNIKASI YANG TERDAFTAR DI BEI PERIODE 2010-2014)</b:Title>
    <b:JournalName>ISSN : 2355-9357 </b:JournalName>
    <b:Year>2016</b:Year>
    <b:Pages>286-292</b:Pages>
    <b:RefOrder>6</b:RefOrder>
  </b:Source>
  <b:Source>
    <b:Tag>Rid16</b:Tag>
    <b:SourceType>JournalArticle</b:SourceType>
    <b:Guid>{9C4157D0-AFBE-49C6-A292-E4227F4DF0DB}</b:Guid>
    <b:LCID>0</b:LCID>
    <b:Author>
      <b:Author>
        <b:NameList>
          <b:Person>
            <b:Last>Ridhwan</b:Last>
          </b:Person>
        </b:NameList>
      </b:Author>
    </b:Author>
    <b:Title>Analisis Suku Bunga dan Inflasi Terhadap Profitabilitas PT. Bank Syariah Mandiri Indonesia</b:Title>
    <b:JournalName>ISSN : 0852-8349</b:JournalName>
    <b:Year>2016</b:Year>
    <b:Pages>01-11</b:Pages>
    <b:RefOrder>7</b:RefOrder>
  </b:Source>
  <b:Source>
    <b:Tag>Hid14</b:Tag>
    <b:SourceType>JournalArticle</b:SourceType>
    <b:Guid>{ACF62C9B-4692-4977-9A44-1A48C9007859}</b:Guid>
    <b:LCID>0</b:LCID>
    <b:Author>
      <b:Author>
        <b:NameList>
          <b:Person>
            <b:Last>Hidayati</b:Last>
            <b:First>Amalia</b:First>
            <b:Middle>Nuril</b:Middle>
          </b:Person>
        </b:NameList>
      </b:Author>
    </b:Author>
    <b:Title>PENGARUH INFLASI, BI RATE DAN KURS TERHADAP PROFITABILITAS BANK SYARIAH DI INDONESIA</b:Title>
    <b:JournalName>AN-NISBAH, Vol. 01</b:JournalName>
    <b:Year>2014</b:Year>
    <b:Pages>73-97</b:Pages>
    <b:RefOrder>8</b:RefOrder>
  </b:Source>
  <b:Source>
    <b:Tag>Has14</b:Tag>
    <b:SourceType>JournalArticle</b:SourceType>
    <b:Guid>{983E82A4-FFCB-4B93-B8E5-F2524A491BC9}</b:Guid>
    <b:LCID>0</b:LCID>
    <b:Author>
      <b:Author>
        <b:NameList>
          <b:Person>
            <b:Last>Hasibuan</b:Last>
            <b:First>Bosar</b:First>
          </b:Person>
        </b:NameList>
      </b:Author>
    </b:Author>
    <b:Title>PENGARUH TINGKAT INFLASI, SUKU BUNGA DAN NILAI TUKAR TERHADAP KINERJA KEUANGAN PERUSAHAAN PERBANKAN YANG LISTING DI BURSA EFEK INDONESIA PERIODE TAHUN 2008 - 2012</b:Title>
    <b:JournalName>ISSN : 2252-5394 </b:JournalName>
    <b:Year>2014</b:Year>
    <b:Pages>34-46</b:Pages>
    <b:RefOrder>9</b:RefOrder>
  </b:Source>
  <b:Source>
    <b:Tag>Muh16</b:Tag>
    <b:SourceType>JournalArticle</b:SourceType>
    <b:Guid>{ED8CC2C6-015E-4C16-BB13-F61AB5D3DE63}</b:Guid>
    <b:LCID>0</b:LCID>
    <b:Author>
      <b:Author>
        <b:NameList>
          <b:Person>
            <b:Last>Muhaemin</b:Last>
            <b:First>Ahmad</b:First>
          </b:Person>
          <b:Person>
            <b:Last>Wiliasih</b:Last>
            <b:First>Ranti</b:First>
          </b:Person>
        </b:NameList>
      </b:Author>
    </b:Author>
    <b:Title>ANALISIS FAKTOR-FAKTOR YANG MEMENGARUHI PROFITABILITAS BANK PEMBIAYAAN RAKYAT SYARIAH DI INDONESIA</b:Title>
    <b:JournalName>Jurnal Nisbah vol.2</b:JournalName>
    <b:Year>2016</b:Year>
    <b:Pages>181-206</b:Pages>
    <b:RefOrder>10</b:RefOrder>
  </b:Source>
  <b:Source>
    <b:Tag>Sod14</b:Tag>
    <b:SourceType>JournalArticle</b:SourceType>
    <b:Guid>{A71BFC53-8BBF-43DD-9377-E04CDCC1D422}</b:Guid>
    <b:LCID>0</b:LCID>
    <b:Author>
      <b:Author>
        <b:NameList>
          <b:Person>
            <b:Last>Sodiq</b:Last>
            <b:First>Amirus</b:First>
          </b:Person>
        </b:NameList>
      </b:Author>
    </b:Author>
    <b:Title>ANALISIS PENGARUH INFLASI, PRODUK DOMESTIC BRUTO DAN JUMLAH UANG BEREDAR TERHADAP RETURN ON ASSET BANK SYARIAH</b:Title>
    <b:JournalName>EQUILIBRIUM Vol. 02</b:JournalName>
    <b:Year>2014</b:Year>
    <b:Pages>208-225</b:Pages>
    <b:RefOrder>11</b:RefOrder>
  </b:Source>
  <b:Source>
    <b:Tag>Rah17</b:Tag>
    <b:SourceType>JournalArticle</b:SourceType>
    <b:Guid>{7F824267-CB50-4CD6-9801-C5751F39684E}</b:Guid>
    <b:LCID>0</b:LCID>
    <b:Author>
      <b:Author>
        <b:NameList>
          <b:Person>
            <b:Last>Rahman</b:Last>
            <b:First>Muhammad</b:First>
            <b:Middle>Hanifan</b:Middle>
          </b:Person>
          <b:Person>
            <b:Last>Trenggana</b:Last>
            <b:First>Arlin</b:First>
            <b:Middle>Ferlina M.</b:Middle>
          </b:Person>
        </b:NameList>
      </b:Author>
    </b:Author>
    <b:Title>PENGARUH SUKU BUNGA BANK INDONESIA DAN INFLASI TERHADAP PROFITABILITAS (STUDI PADA PERUSAHAAN PEMBIAYAAN YANG TERDAFTAR DI BURSA EFEK INDONESIA PERIODE 2011-2015)</b:Title>
    <b:JournalName> ISSN 2085-7993 Vol. 16</b:JournalName>
    <b:Year>2017</b:Year>
    <b:Pages>39-45</b:Pages>
    <b:RefOrder>12</b:RefOrder>
  </b:Source>
  <b:Source>
    <b:Tag>Nat14</b:Tag>
    <b:SourceType>JournalArticle</b:SourceType>
    <b:Guid>{75F5B25E-7A93-4B62-A8BD-4E0C42043372}</b:Guid>
    <b:LCID>0</b:LCID>
    <b:Author>
      <b:Author>
        <b:NameList>
          <b:Person>
            <b:Last>Natsir</b:Last>
            <b:First>M</b:First>
          </b:Person>
        </b:NameList>
      </b:Author>
    </b:Author>
    <b:Title>Peranan Jalur Suku Bunga dalam mekanisme transmisi</b:Title>
    <b:JournalName>Jurnal</b:JournalName>
    <b:Year>2014</b:Year>
    <b:Pages>103-104</b:Pages>
    <b:RefOrder>13</b:RefOrder>
  </b:Source>
  <b:Source>
    <b:Tag>Und98</b:Tag>
    <b:SourceType>JournalArticle</b:SourceType>
    <b:Guid>{81F65197-26DF-4250-9EC0-DF09593EC52F}</b:Guid>
    <b:LCID>0</b:LCID>
    <b:Title>Undang-Undang No 10 teantang Perbankan</b:Title>
    <b:Year>1998</b:Year>
    <b:RefOrder>14</b:RefOrder>
  </b:Source>
  <b:Source>
    <b:Tag>Abd13</b:Tag>
    <b:SourceType>Book</b:SourceType>
    <b:Guid>{67D5FE59-E650-4B6A-B587-34D6C6DD5B96}</b:Guid>
    <b:LCID>0</b:LCID>
    <b:Author>
      <b:Author>
        <b:NameList>
          <b:Person>
            <b:Last>Abdullah</b:Last>
          </b:Person>
        </b:NameList>
      </b:Author>
    </b:Author>
    <b:Title>Bank dan Lembaga Keuangan</b:Title>
    <b:Year>2013</b:Year>
    <b:City>Jakarta</b:City>
    <b:Publisher>Rajawali Pers</b:Publisher>
    <b:RefOrder>15</b:RefOrder>
  </b:Source>
  <b:Source>
    <b:Tag>Fir11</b:Tag>
    <b:SourceType>Book</b:SourceType>
    <b:Guid>{C25BD355-D531-4842-82D1-B7D3C427160F}</b:Guid>
    <b:LCID>0</b:LCID>
    <b:Author>
      <b:Author>
        <b:NameList>
          <b:Person>
            <b:Last>Firdaus</b:Last>
          </b:Person>
        </b:NameList>
      </b:Author>
    </b:Author>
    <b:Title> Pengantar Teori Moneter serta Aplikasinya</b:Title>
    <b:Year>2011</b:Year>
    <b:City>Bandung</b:City>
    <b:Publisher>Rajawali Pers</b:Publisher>
    <b:RefOrder>16</b:RefOrder>
  </b:Source>
  <b:Source>
    <b:Tag>Tho05</b:Tag>
    <b:SourceType>Book</b:SourceType>
    <b:Guid>{EB252702-893A-4CFB-BC19-CF67AF036EC2}</b:Guid>
    <b:LCID>0</b:LCID>
    <b:Author>
      <b:Author>
        <b:NameList>
          <b:Person>
            <b:Last>Thomson</b:Last>
          </b:Person>
        </b:NameList>
      </b:Author>
    </b:Author>
    <b:Title>Warren Reeve Fess Accounting Pengantar Akuntansi</b:Title>
    <b:Year>2005</b:Year>
    <b:City>Jakarta</b:City>
    <b:Publisher>Salemba Empat</b:Publisher>
    <b:RefOrder>17</b:RefOrder>
  </b:Source>
  <b:Source>
    <b:Tag>Pra14</b:Tag>
    <b:SourceType>Book</b:SourceType>
    <b:Guid>{EAE77219-57E3-4A77-AE98-38D1BE23FA01}</b:Guid>
    <b:LCID>0</b:LCID>
    <b:Author>
      <b:Author>
        <b:NameList>
          <b:Person>
            <b:Last>Prastowo</b:Last>
            <b:First>Dwi</b:First>
          </b:Person>
        </b:NameList>
      </b:Author>
    </b:Author>
    <b:Title>Analisis Laporan Keuangan Edisi Kedua</b:Title>
    <b:Year>2014</b:Year>
    <b:Publisher>Sekolah Tinggi Ilmu Manajemen YKPN</b:Publisher>
    <b:RefOrder>18</b:RefOrder>
  </b:Source>
  <b:Source>
    <b:Tag>Mur131</b:Tag>
    <b:SourceType>Book</b:SourceType>
    <b:Guid>{2DAAE6B2-906E-4397-B0EA-91483C3E18C5}</b:Guid>
    <b:LCID>0</b:LCID>
    <b:Author>
      <b:Author>
        <b:NameList>
          <b:Person>
            <b:Last>Murni</b:Last>
            <b:First>Asfia</b:First>
          </b:Person>
        </b:NameList>
      </b:Author>
    </b:Author>
    <b:Title>Ekonomika Makro Edisi Revisi</b:Title>
    <b:Year>2013</b:Year>
    <b:City>Bandung</b:City>
    <b:Publisher>PT. Refika Aditama Anoraga</b:Publisher>
    <b:RefOrder>19</b:RefOrder>
  </b:Source>
  <b:Source>
    <b:Tag>Har111</b:Tag>
    <b:SourceType>Book</b:SourceType>
    <b:Guid>{7427801A-DF2C-4385-BED2-B90C72828DDA}</b:Guid>
    <b:LCID>0</b:LCID>
    <b:Author>
      <b:Author>
        <b:NameList>
          <b:Person>
            <b:Last>Harahap</b:Last>
            <b:First>Sofyan</b:First>
            <b:Middle>Syafri</b:Middle>
          </b:Person>
        </b:NameList>
      </b:Author>
    </b:Author>
    <b:Title>Teori Akuntansi Edisi Revisi </b:Title>
    <b:Year>2011</b:Year>
    <b:City>Jakarta </b:City>
    <b:Publisher>Rajawali Pers</b:Publisher>
    <b:RefOrder>20</b:RefOrder>
  </b:Source>
  <b:Source>
    <b:Tag>Pra101</b:Tag>
    <b:SourceType>Book</b:SourceType>
    <b:Guid>{E6BAEA17-4EE1-4FBC-B921-8E2AE388C271}</b:Guid>
    <b:LCID>0</b:LCID>
    <b:Author>
      <b:Author>
        <b:NameList>
          <b:Person>
            <b:Last>Prastowo</b:Last>
          </b:Person>
          <b:Person>
            <b:Last>Rifka</b:Last>
            <b:First>Juliaty</b:First>
          </b:Person>
        </b:NameList>
      </b:Author>
    </b:Author>
    <b:Title> Analisis Laporan Keuangan Konsep dan Aplikasi (Edisi Kedua)</b:Title>
    <b:Year>2010</b:Year>
    <b:City>Yogyakarta</b:City>
    <b:Publisher>UPP STIM YKPN</b:Publisher>
    <b:RefOrder>21</b:RefOrder>
  </b:Source>
  <b:Source>
    <b:Tag>Mun101</b:Tag>
    <b:SourceType>Book</b:SourceType>
    <b:Guid>{81DBB42E-1251-4B36-BA91-01C1B5B7E27D}</b:Guid>
    <b:LCID>0</b:LCID>
    <b:Author>
      <b:Author>
        <b:NameList>
          <b:Person>
            <b:Last>Munawir</b:Last>
            <b:First>S</b:First>
          </b:Person>
        </b:NameList>
      </b:Author>
    </b:Author>
    <b:Title> Analisis laporan Keuangan Edisi keempat. Cetakan Kelima</b:Title>
    <b:Year>2010</b:Year>
    <b:City>Yogyakarta</b:City>
    <b:Publisher>Liberty</b:Publisher>
    <b:RefOrder>22</b:RefOrder>
  </b:Source>
  <b:Source>
    <b:Tag>Suw081</b:Tag>
    <b:SourceType>Book</b:SourceType>
    <b:Guid>{6CF47F75-A353-46C6-B953-D384BB153372}</b:Guid>
    <b:LCID>0</b:LCID>
    <b:Author>
      <b:Author>
        <b:NameList>
          <b:Person>
            <b:Last>Suwardjono</b:Last>
          </b:Person>
        </b:NameList>
      </b:Author>
    </b:Author>
    <b:Title>Teori Akuntansi Perekayasaan Pelaporan Keuangan, edisi ketiga</b:Title>
    <b:Year>2008</b:Year>
    <b:City>YOGYAKARTA</b:City>
    <b:Publisher>BPFE</b:Publisher>
    <b:RefOrder>23</b:RefOrder>
  </b:Source>
  <b:Source>
    <b:Tag>Har10</b:Tag>
    <b:SourceType>Book</b:SourceType>
    <b:Guid>{7154D340-6441-4754-B5AF-B8A5B2D6813F}</b:Guid>
    <b:LCID>0</b:LCID>
    <b:Author>
      <b:Author>
        <b:NameList>
          <b:Person>
            <b:Last>Harahap</b:Last>
            <b:First>Sofyan</b:First>
            <b:Middle>Syafri</b:Middle>
          </b:Person>
        </b:NameList>
      </b:Author>
    </b:Author>
    <b:Title>Analisis Kritis atas Laporan Keuangan</b:Title>
    <b:Year>2010</b:Year>
    <b:City>Jakarta</b:City>
    <b:Publisher>Rajawali Pers</b:Publisher>
    <b:RefOrder>24</b:RefOrder>
  </b:Source>
  <b:Source>
    <b:Tag>Den09</b:Tag>
    <b:SourceType>Book</b:SourceType>
    <b:Guid>{3F403169-888A-4053-902A-4EB4A8F20B8D}</b:Guid>
    <b:LCID>0</b:LCID>
    <b:Author>
      <b:Author>
        <b:NameList>
          <b:Person>
            <b:Last>Dendawijaya</b:Last>
            <b:First>Lukman</b:First>
          </b:Person>
        </b:NameList>
      </b:Author>
    </b:Author>
    <b:Title>Manajemen Perbankan</b:Title>
    <b:Year>2009</b:Year>
    <b:City>Jakarta</b:City>
    <b:Publisher>Ghalia Indonesia</b:Publisher>
    <b:RefOrder>25</b:RefOrder>
  </b:Source>
  <b:Source>
    <b:Tag>Git12</b:Tag>
    <b:SourceType>Book</b:SourceType>
    <b:Guid>{47A1C6C7-CF84-4890-8D70-FBC5DAEB1701}</b:Guid>
    <b:LCID>0</b:LCID>
    <b:Author>
      <b:Author>
        <b:NameList>
          <b:Person>
            <b:Last>Gitman</b:Last>
            <b:First>Lawrence</b:First>
            <b:Middle>J</b:Middle>
          </b:Person>
          <b:Person>
            <b:Last>Zutter</b:Last>
            <b:First>Chad</b:First>
            <b:Middle>J</b:Middle>
          </b:Person>
        </b:NameList>
      </b:Author>
    </b:Author>
    <b:Title>Principles of Managerial Finance 13th Edition</b:Title>
    <b:Year>2012</b:Year>
    <b:City>Global Edition</b:City>
    <b:Publisher>Pearson Education Limited</b:Publisher>
    <b:RefOrder>26</b:RefOrder>
  </b:Source>
  <b:Source>
    <b:Tag>Pan12</b:Tag>
    <b:SourceType>Book</b:SourceType>
    <b:Guid>{C92ABE0C-F515-41BF-A8FC-7966ABB2071F}</b:Guid>
    <b:LCID>0</b:LCID>
    <b:Author>
      <b:Author>
        <b:NameList>
          <b:Person>
            <b:Last>Pandia</b:Last>
            <b:First>Frianto</b:First>
          </b:Person>
        </b:NameList>
      </b:Author>
    </b:Author>
    <b:Title>Manajemen Dana dan Kesehatan Bank</b:Title>
    <b:Year>2012</b:Year>
    <b:City>Jakarta</b:City>
    <b:Publisher>Rineka Cipta</b:Publisher>
    <b:RefOrder>27</b:RefOrder>
  </b:Source>
  <b:Source>
    <b:Tag>Sut12</b:Tag>
    <b:SourceType>Book</b:SourceType>
    <b:Guid>{19556C06-E960-4026-999D-A0369C000D9E}</b:Guid>
    <b:LCID>0</b:LCID>
    <b:Author>
      <b:Author>
        <b:NameList>
          <b:Person>
            <b:Last>Sutrisno</b:Last>
          </b:Person>
        </b:NameList>
      </b:Author>
    </b:Author>
    <b:Title>Manajemen Keuangan: Teori, Konsep dan Aplikasi</b:Title>
    <b:Year>2012</b:Year>
    <b:City>Yogyakarta</b:City>
    <b:Publisher>Ekonesia</b:Publisher>
    <b:RefOrder>28</b:RefOrder>
  </b:Source>
  <b:Source>
    <b:Tag>Her15</b:Tag>
    <b:SourceType>Book</b:SourceType>
    <b:Guid>{4CE34D83-576D-4329-BFD9-730BDF6C9EF8}</b:Guid>
    <b:LCID>0</b:LCID>
    <b:Author>
      <b:Author>
        <b:NameList>
          <b:Person>
            <b:Last>Hery</b:Last>
          </b:Person>
        </b:NameList>
      </b:Author>
    </b:Author>
    <b:Title>Analisis Kinerja Manajemen</b:Title>
    <b:Year>2015</b:Year>
    <b:City>Jakarta</b:City>
    <b:Publisher>Grasindo</b:Publisher>
    <b:RefOrder>29</b:RefOrder>
  </b:Source>
  <b:Source>
    <b:Tag>Ari12</b:Tag>
    <b:SourceType>Book</b:SourceType>
    <b:Guid>{3A6DDC8E-84C6-474B-9BF6-35F1AC1C2A9A}</b:Guid>
    <b:LCID>0</b:LCID>
    <b:Author>
      <b:Author>
        <b:NameList>
          <b:Person>
            <b:Last>Ariefianto</b:Last>
            <b:First>M</b:First>
          </b:Person>
        </b:NameList>
      </b:Author>
    </b:Author>
    <b:Title>EKONOMETRIKA; Esensi danAplikasi dengan Menggunakan EVIEWS</b:Title>
    <b:Year>2010</b:Year>
    <b:City>Jakarta</b:City>
    <b:Publisher>Erlangga</b:Publisher>
    <b:RefOrder>30</b:RefOrder>
  </b:Source>
  <b:Source>
    <b:Tag>Wid07</b:Tag>
    <b:SourceType>Book</b:SourceType>
    <b:Guid>{BF4DB8B2-7965-494A-B96E-CA3E02CC314E}</b:Guid>
    <b:LCID>0</b:LCID>
    <b:Author>
      <b:Author>
        <b:NameList>
          <b:Person>
            <b:Last>Widarjono</b:Last>
            <b:First>A</b:First>
          </b:Person>
        </b:NameList>
      </b:Author>
    </b:Author>
    <b:Title>EKONOMETRIKA;  Pengantar  dan  Aplikasinya(3rd  ed.)</b:Title>
    <b:Year>2007</b:Year>
    <b:City>Yogyakarta</b:City>
    <b:Publisher> EKONISIA</b:Publisher>
    <b:RefOrder>31</b:RefOrder>
  </b:Source>
  <b:Source>
    <b:Tag>Guj03</b:Tag>
    <b:SourceType>Book</b:SourceType>
    <b:Guid>{770D7D2B-E17A-4BBC-8643-9EA020D3A352}</b:Guid>
    <b:LCID>0</b:LCID>
    <b:Author>
      <b:Author>
        <b:NameList>
          <b:Person>
            <b:Last>Gujarati</b:Last>
            <b:First>Damodar</b:First>
          </b:Person>
        </b:NameList>
      </b:Author>
    </b:Author>
    <b:Title> Ekonometri Dasar. Terjemahan: Sumarno Zain</b:Title>
    <b:Year>2003</b:Year>
    <b:City>Jakarta</b:City>
    <b:Publisher>Erlangga</b:Publisher>
    <b:RefOrder>32</b:RefOrder>
  </b:Source>
  <b:Source>
    <b:Tag>Placeholder1</b:Tag>
    <b:SourceType>Book</b:SourceType>
    <b:Guid>{4BBDB207-86EE-46C2-A0C4-7A2A145CF19E}</b:Guid>
    <b:LCID>0</b:LCID>
    <b:Author>
      <b:Author>
        <b:NameList>
          <b:Person>
            <b:Last>Firdaus</b:Last>
            <b:First>Rahmat</b:First>
          </b:Person>
          <b:Person>
            <b:Last>Ariyanti</b:Last>
            <b:First>Maya</b:First>
          </b:Person>
        </b:NameList>
      </b:Author>
    </b:Author>
    <b:Title>Pengantar Teori Moneter serta Aplikasinya</b:Title>
    <b:Year>2011</b:Year>
    <b:City>Bandung</b:City>
    <b:Publisher>Rajawali Pers</b:Publisher>
    <b:RefOrder>33</b:RefOrder>
  </b:Source>
  <b:Source>
    <b:Tag>Fes05</b:Tag>
    <b:SourceType>Book</b:SourceType>
    <b:Guid>{BD5FE446-25EF-4488-8C2D-749CAA43FB12}</b:Guid>
    <b:LCID>0</b:LCID>
    <b:Author>
      <b:Author>
        <b:NameList>
          <b:Person>
            <b:Last>Fess</b:Last>
            <b:First>Warren</b:First>
            <b:Middle>Reeve</b:Middle>
          </b:Person>
        </b:NameList>
      </b:Author>
    </b:Author>
    <b:Title>Accounting principal, alih bahasa Aria Farahmita, Amanugrahani dan Taufik Hendrawan, Pengantar akuntansi</b:Title>
    <b:Year>2005</b:Year>
    <b:City>Jakarta</b:City>
    <b:Publisher>Salemba Empat</b:Publisher>
    <b:RefOrder>34</b:RefOrder>
  </b:Source>
  <b:Source>
    <b:Tag>Ika09</b:Tag>
    <b:SourceType>Book</b:SourceType>
    <b:Guid>{F18DD359-3A36-4C6A-864E-D493078A5AAC}</b:Guid>
    <b:LCID>0</b:LCID>
    <b:Author>
      <b:Author>
        <b:NameList>
          <b:Person>
            <b:Last>Ikatan Akuntansi Indonesia</b:Last>
          </b:Person>
        </b:NameList>
      </b:Author>
    </b:Author>
    <b:Title>Pernyataan Standar Akuntansi Keuangan No. 1.</b:Title>
    <b:Year>2009</b:Year>
    <b:City>Jakarta</b:City>
    <b:Publisher>Salemba Empat</b:Publisher>
    <b:RefOrder>35</b:RefOrder>
  </b:Source>
  <b:Source>
    <b:Tag>IAI15</b:Tag>
    <b:SourceType>Book</b:SourceType>
    <b:Guid>{8C2D1B4E-0E8B-4712-8230-BE37F1C11867}</b:Guid>
    <b:LCID>0</b:LCID>
    <b:Author>
      <b:Author>
        <b:NameList>
          <b:Person>
            <b:Last>Ikatan Akuntansi Indonesia</b:Last>
          </b:Person>
        </b:NameList>
      </b:Author>
    </b:Author>
    <b:Title>Pernyataan Standar Akuntansi Keuangan No. 1.</b:Title>
    <b:Year>2015</b:Year>
    <b:City>Jakarta</b:City>
    <b:Publisher>Salemba Empat</b:Publisher>
    <b:RefOrder>36</b:RefOrder>
  </b:Source>
  <b:Source>
    <b:Tag>Fah12</b:Tag>
    <b:SourceType>Book</b:SourceType>
    <b:Guid>{55F745AC-1F1A-4C4E-B1C3-49DB691E9719}</b:Guid>
    <b:LCID>0</b:LCID>
    <b:Author>
      <b:Author>
        <b:NameList>
          <b:Person>
            <b:Last>Fahmi</b:Last>
            <b:First>Irham</b:First>
          </b:Person>
        </b:NameList>
      </b:Author>
    </b:Author>
    <b:Title>Analisis Laporan Keuangan Cetakan-2</b:Title>
    <b:Year>2012</b:Year>
    <b:City>Bandung</b:City>
    <b:Publisher>Alfabeta</b:Publisher>
    <b:RefOrder>37</b:RefOrder>
  </b:Source>
  <b:Source>
    <b:Tag>Kas12</b:Tag>
    <b:SourceType>Book</b:SourceType>
    <b:Guid>{9486BA15-8083-4C45-958D-07239E7C2D83}</b:Guid>
    <b:LCID>0</b:LCID>
    <b:Author>
      <b:Author>
        <b:NameList>
          <b:Person>
            <b:Last>Kasmir</b:Last>
          </b:Person>
        </b:NameList>
      </b:Author>
    </b:Author>
    <b:Title>Bank dan Lembaga Keuangan Lainnya, Edisi revisi 2012</b:Title>
    <b:Year>2012</b:Year>
    <b:City>Jakarta</b:City>
    <b:Publisher>PT Raja Grafindo Persada</b:Publisher>
    <b:RefOrder>38</b:RefOrder>
  </b:Source>
  <b:Source>
    <b:Tag>Kas15</b:Tag>
    <b:SourceType>Book</b:SourceType>
    <b:Guid>{3B86BF8D-A583-4C7D-B37D-DA9BF039E2C8}</b:Guid>
    <b:LCID>0</b:LCID>
    <b:Author>
      <b:Author>
        <b:NameList>
          <b:Person>
            <b:Last>Kasmir</b:Last>
          </b:Person>
        </b:NameList>
      </b:Author>
    </b:Author>
    <b:Title>Bank dan Lembaga Keuangan Lainnya, Edisi revisi 2015</b:Title>
    <b:Year>2015</b:Year>
    <b:City>Jakarta</b:City>
    <b:Publisher>PT Raja Grafindo Persada</b:Publisher>
    <b:RefOrder>39</b:RefOrder>
  </b:Source>
  <b:Source>
    <b:Tag>Ban04</b:Tag>
    <b:SourceType>Book</b:SourceType>
    <b:Guid>{26FCF2D5-DFBC-4114-BCD0-A22C14559CDF}</b:Guid>
    <b:LCID>0</b:LCID>
    <b:Author>
      <b:Author>
        <b:NameList>
          <b:Person>
            <b:Last>Bank Indonesia</b:Last>
          </b:Person>
        </b:NameList>
      </b:Author>
    </b:Author>
    <b:Title>Surat Edaran Nomor 6/23/DNP Perihal Penilaian Tingkat Kesehatan Bank Umum.</b:Title>
    <b:Year>2004</b:Year>
    <b:RefOrder>40</b:RefOrder>
  </b:Source>
  <b:Source>
    <b:Tag>Ban01</b:Tag>
    <b:SourceType>Book</b:SourceType>
    <b:Guid>{A4614B2F-7ADF-4C70-8D76-EC21B9421669}</b:Guid>
    <b:LCID>0</b:LCID>
    <b:Author>
      <b:Author>
        <b:NameList>
          <b:Person>
            <b:Last>Bank Indonesia</b:Last>
          </b:Person>
        </b:NameList>
      </b:Author>
    </b:Author>
    <b:Title>Surat Edaran Bank Indonesia Nomor 3/30/DPNP </b:Title>
    <b:Year>2001</b:Year>
    <b:RefOrder>41</b:RefOrder>
  </b:Source>
  <b:Source>
    <b:Tag>Kal13</b:Tag>
    <b:SourceType>JournalArticle</b:SourceType>
    <b:Guid>{ABDC154E-A1C4-40CA-A397-433E41023182}</b:Guid>
    <b:LCID>0</b:LCID>
    <b:Author>
      <b:Author>
        <b:NameList>
          <b:Person>
            <b:Last>Kalengkongan</b:Last>
            <b:First>Glenda</b:First>
          </b:Person>
        </b:NameList>
      </b:Author>
    </b:Author>
    <b:Title>TINGKAT SUKU BUNGA DAN INFLASI PENGARUHNYA TERHADAP RETURN ON ASSET (ROA) PADA INDUSTRI PERBANKAN YANG GO PUBLIC DI BURSA EFEK INDONESIA</b:Title>
    <b:Year>2013</b:Year>
    <b:JournalName>ISSN 2303-1174 Vol.1 No.4</b:JournalName>
    <b:Pages>737-747</b:Pages>
    <b:RefOrder>42</b:RefOrder>
  </b:Source>
  <b:Source>
    <b:Tag>Sah13</b:Tag>
    <b:SourceType>JournalArticle</b:SourceType>
    <b:Guid>{650CB485-899C-44D3-B34B-F32D39FABE22}</b:Guid>
    <b:LCID>0</b:LCID>
    <b:Author>
      <b:Author>
        <b:NameList>
          <b:Person>
            <b:Last>Sahara</b:Last>
            <b:First>Ayu</b:First>
            <b:Middle>Yanita</b:Middle>
          </b:Person>
        </b:NameList>
      </b:Author>
    </b:Author>
    <b:Title>Analisis Pengaruh Inflasi, Suku Bunga BI, dan Produk Domestik Bruto Terhadap Return On Asset (ROA) Bank Syari’ah di Indonesia</b:Title>
    <b:JournalName> Ilmu Manajemen Universitas Negeri Surabaya I (1)</b:JournalName>
    <b:Year>2013</b:Year>
    <b:Pages>149-157</b:Pages>
    <b:RefOrder>43</b:RefOrder>
  </b:Source>
  <b:Source>
    <b:Tag>Ant12</b:Tag>
    <b:SourceType>JournalArticle</b:SourceType>
    <b:Guid>{1C2B50C4-F430-4B72-B0DD-D8C26090FE1E}</b:Guid>
    <b:LCID>0</b:LCID>
    <b:Author>
      <b:Author>
        <b:NameList>
          <b:Person>
            <b:Last>Anto</b:Last>
          </b:Person>
          <b:Person>
            <b:Last>Wibowo</b:Last>
            <b:First>M.</b:First>
            <b:Middle>Ghafur</b:Middle>
          </b:Person>
        </b:NameList>
      </b:Author>
    </b:Author>
    <b:Title>Faktor-Faktor Penentu Tingkat Profitabilitas Bank Umum Syariah di Indoensia</b:Title>
    <b:JournalName>Jurnal Ekononomi Islam La Ribaa VI (2)</b:JournalName>
    <b:Year>2012</b:Year>
    <b:Pages>147-160</b:Pages>
    <b:RefOrder>44</b:RefOrder>
  </b:Source>
  <b:Source>
    <b:Tag>Sup09</b:Tag>
    <b:SourceType>Book</b:SourceType>
    <b:Guid>{D4FCC25B-7088-4220-BD37-244AFC81D393}</b:Guid>
    <b:LCID>0</b:LCID>
    <b:Author>
      <b:Author>
        <b:NameList>
          <b:Person>
            <b:Last>Supriyanti</b:Last>
            <b:First>Neni</b:First>
          </b:Person>
        </b:NameList>
      </b:Author>
    </b:Author>
    <b:Title>Analisis Pengaruh Inflasi dan Suku Bunga BI terhadap Kinerja Keuangan PT. Bank Mandiri, Tbk. Berdasarkan Rasio Keuangan. </b:Title>
    <b:Year>2009</b:Year>
    <b:City>Jakarta</b:City>
    <b:Publisher>Universitas Gunadarma</b:Publisher>
    <b:RefOrder>45</b:RefOrder>
  </b:Source>
  <b:Source>
    <b:Tag>Sug16</b:Tag>
    <b:SourceType>Book</b:SourceType>
    <b:Guid>{B62C38E5-8D24-4714-BAD5-50FC26B27BEB}</b:Guid>
    <b:LCID>0</b:LCID>
    <b:Author>
      <b:Author>
        <b:NameList>
          <b:Person>
            <b:Last>Sugiyono</b:Last>
          </b:Person>
        </b:NameList>
      </b:Author>
    </b:Author>
    <b:Title>Metodologi Penelitian Bisnis</b:Title>
    <b:Year>2016</b:Year>
    <b:City>Bandung</b:City>
    <b:Publisher>CV Alfabeta</b:Publisher>
    <b:RefOrder>46</b:RefOrder>
  </b:Source>
  <b:Source>
    <b:Tag>Aji11</b:Tag>
    <b:SourceType>Book</b:SourceType>
    <b:Guid>{5CFD02D6-F87A-426B-80FB-879B57CE6FA3}</b:Guid>
    <b:LCID>0</b:LCID>
    <b:Author>
      <b:Author>
        <b:NameList>
          <b:Person>
            <b:Last>Ajija</b:Last>
          </b:Person>
          <b:Person>
            <b:Last>Rohmatul</b:Last>
            <b:First>Shochrul</b:First>
          </b:Person>
          <b:Person>
            <b:Last>dkk</b:Last>
          </b:Person>
        </b:NameList>
      </b:Author>
    </b:Author>
    <b:Title>Cara Cerdas Menguasai Eviews</b:Title>
    <b:Year>2011</b:Year>
    <b:City>Jakarta</b:City>
    <b:Publisher>Salemba Empat</b:Publisher>
    <b:RefOrder>47</b:RefOrder>
  </b:Source>
  <b:Source>
    <b:Tag>Zul14</b:Tag>
    <b:SourceType>JournalArticle</b:SourceType>
    <b:Guid>{465345BD-48D4-4923-8B3A-2DDFAD81CB24}</b:Guid>
    <b:LCID>0</b:LCID>
    <b:Author>
      <b:Author>
        <b:NameList>
          <b:Person>
            <b:Last>Zulifah</b:Last>
            <b:First>Fitri</b:First>
          </b:Person>
          <b:Person>
            <b:Last>Susilowibowo</b:Last>
          </b:Person>
        </b:NameList>
      </b:Author>
    </b:Author>
    <b:Title>Pengaruh Inflasi, BI Rate, Capital Adequacy Ratio (CAR), Non Performing Finance (NPF), Biaya Operasioal dan Pendapatan Operasional (BOPO) Terhadap Proitabilitas Bank Umum Syariah</b:Title>
    <b:Year>2014</b:Year>
    <b:JournalName>Jurnal Ilmu Manajemen Vol. 2 No.3</b:JournalName>
    <b:Pages>759-770</b:Pages>
    <b:RefOrder>48</b:RefOrder>
  </b:Source>
</b:Sources>
</file>

<file path=customXml/itemProps1.xml><?xml version="1.0" encoding="utf-8"?>
<ds:datastoreItem xmlns:ds="http://schemas.openxmlformats.org/officeDocument/2006/customXml" ds:itemID="{F6152544-EF2E-456A-B9A3-1B7E89B5E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3905</Words>
  <Characters>22262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2018-07-27T04:05:00Z</dcterms:created>
  <dcterms:modified xsi:type="dcterms:W3CDTF">2018-07-29T11:19:00Z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2017-05-24T00:00:00Z</vt:filetime>
  </property>
  <property fmtid="{D5CDD505-2E9C-101B-9397-08002B2CF9AE}" pid="3" name="LastSaved">
    <vt:filetime>2018-01-28T00:00:00Z</vt:filetime>
  </property>
</Properties>
</file>